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729D" w14:textId="02BB2C29" w:rsidR="005C32C3" w:rsidRPr="004A0F53" w:rsidRDefault="005C32C3" w:rsidP="00970505">
      <w:pPr>
        <w:overflowPunct w:val="0"/>
        <w:autoSpaceDE w:val="0"/>
        <w:autoSpaceDN w:val="0"/>
        <w:adjustRightInd w:val="0"/>
        <w:spacing w:after="0" w:line="240" w:lineRule="auto"/>
        <w:jc w:val="center"/>
        <w:textAlignment w:val="baseline"/>
        <w:rPr>
          <w:rFonts w:ascii="Calibri" w:hAnsi="Calibri" w:cs="Tahoma"/>
          <w:b/>
          <w:sz w:val="22"/>
        </w:rPr>
      </w:pPr>
      <w:r>
        <w:rPr>
          <w:rFonts w:ascii="Calibri" w:hAnsi="Calibri" w:cs="Tahoma"/>
          <w:b/>
          <w:sz w:val="22"/>
        </w:rPr>
        <w:t>Hydrant</w:t>
      </w:r>
      <w:r w:rsidR="009F0894">
        <w:rPr>
          <w:rFonts w:ascii="Calibri" w:hAnsi="Calibri" w:cs="Tahoma"/>
          <w:b/>
          <w:sz w:val="22"/>
        </w:rPr>
        <w:t xml:space="preserve"> Programme</w:t>
      </w:r>
    </w:p>
    <w:p w14:paraId="4922DEA8" w14:textId="77777777" w:rsidR="005C32C3" w:rsidRPr="004A0F53" w:rsidRDefault="005C32C3" w:rsidP="00970505">
      <w:pPr>
        <w:overflowPunct w:val="0"/>
        <w:autoSpaceDE w:val="0"/>
        <w:autoSpaceDN w:val="0"/>
        <w:adjustRightInd w:val="0"/>
        <w:spacing w:after="0" w:line="240" w:lineRule="auto"/>
        <w:jc w:val="center"/>
        <w:textAlignment w:val="baseline"/>
        <w:rPr>
          <w:rFonts w:ascii="Calibri" w:hAnsi="Calibri" w:cs="Tahoma"/>
          <w:b/>
          <w:sz w:val="22"/>
        </w:rPr>
      </w:pPr>
      <w:r w:rsidRPr="004A0F53">
        <w:rPr>
          <w:rFonts w:ascii="Calibri" w:hAnsi="Calibri" w:cs="Tahoma"/>
          <w:b/>
          <w:sz w:val="22"/>
        </w:rPr>
        <w:t>Freedom of Information Requests</w:t>
      </w:r>
    </w:p>
    <w:p w14:paraId="59C4A2E7" w14:textId="77777777" w:rsidR="005C32C3" w:rsidRPr="004A0F53" w:rsidRDefault="005C32C3" w:rsidP="001D52BA">
      <w:pPr>
        <w:overflowPunct w:val="0"/>
        <w:autoSpaceDE w:val="0"/>
        <w:autoSpaceDN w:val="0"/>
        <w:adjustRightInd w:val="0"/>
        <w:spacing w:before="120" w:after="120" w:line="240" w:lineRule="auto"/>
        <w:jc w:val="center"/>
        <w:textAlignment w:val="baseline"/>
        <w:rPr>
          <w:rFonts w:ascii="Calibri" w:hAnsi="Calibri" w:cs="Tahoma"/>
          <w:b/>
          <w:sz w:val="22"/>
        </w:rPr>
      </w:pPr>
    </w:p>
    <w:p w14:paraId="67AA69E2" w14:textId="77777777" w:rsidR="005C32C3" w:rsidRPr="004A0F53" w:rsidRDefault="005C32C3" w:rsidP="008C62B4">
      <w:pPr>
        <w:overflowPunct w:val="0"/>
        <w:autoSpaceDE w:val="0"/>
        <w:autoSpaceDN w:val="0"/>
        <w:adjustRightInd w:val="0"/>
        <w:spacing w:after="0" w:line="240" w:lineRule="auto"/>
        <w:jc w:val="left"/>
        <w:textAlignment w:val="baseline"/>
        <w:rPr>
          <w:rFonts w:ascii="Calibri" w:hAnsi="Calibri" w:cs="Tahoma"/>
          <w:b/>
          <w:sz w:val="22"/>
        </w:rPr>
      </w:pPr>
      <w:r>
        <w:rPr>
          <w:rFonts w:ascii="Calibri" w:hAnsi="Calibri" w:cs="Tahoma"/>
          <w:b/>
          <w:sz w:val="22"/>
        </w:rPr>
        <w:t>NPCC</w:t>
      </w:r>
      <w:r w:rsidRPr="004A0F53">
        <w:rPr>
          <w:rFonts w:ascii="Calibri" w:hAnsi="Calibri" w:cs="Tahoma"/>
          <w:b/>
          <w:sz w:val="22"/>
        </w:rPr>
        <w:t xml:space="preserve"> Publication Strategy</w:t>
      </w:r>
    </w:p>
    <w:p w14:paraId="0FACE782" w14:textId="77777777" w:rsidR="005C32C3" w:rsidRPr="004A0F53" w:rsidRDefault="005C32C3" w:rsidP="008C62B4">
      <w:pPr>
        <w:overflowPunct w:val="0"/>
        <w:autoSpaceDE w:val="0"/>
        <w:autoSpaceDN w:val="0"/>
        <w:adjustRightInd w:val="0"/>
        <w:spacing w:after="0" w:line="240" w:lineRule="auto"/>
        <w:jc w:val="left"/>
        <w:textAlignment w:val="baseline"/>
        <w:rPr>
          <w:rFonts w:ascii="Calibri" w:hAnsi="Calibri" w:cs="Tahoma"/>
          <w:b/>
          <w:sz w:val="22"/>
        </w:rPr>
      </w:pPr>
      <w:r w:rsidRPr="004A0F53">
        <w:rPr>
          <w:rFonts w:ascii="Calibri" w:hAnsi="Calibri" w:cs="Tahoma"/>
          <w:b/>
          <w:sz w:val="22"/>
        </w:rPr>
        <w:t xml:space="preserve"> </w:t>
      </w:r>
    </w:p>
    <w:p w14:paraId="773A28FC" w14:textId="389CB5DE"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r w:rsidRPr="004A0F53">
        <w:rPr>
          <w:rFonts w:ascii="Calibri" w:hAnsi="Calibri" w:cs="Tahoma"/>
          <w:sz w:val="22"/>
          <w:lang w:val="en-US"/>
        </w:rPr>
        <w:t xml:space="preserve">This document should form part of the overall </w:t>
      </w:r>
      <w:r>
        <w:rPr>
          <w:rFonts w:ascii="Calibri" w:hAnsi="Calibri" w:cs="Tahoma"/>
          <w:sz w:val="22"/>
          <w:lang w:val="en-US"/>
        </w:rPr>
        <w:t>NPCC</w:t>
      </w:r>
      <w:r w:rsidR="00EF520B">
        <w:rPr>
          <w:rFonts w:ascii="Calibri" w:hAnsi="Calibri" w:cs="Tahoma"/>
          <w:sz w:val="22"/>
          <w:lang w:val="en-US"/>
        </w:rPr>
        <w:t xml:space="preserve"> Hydrant</w:t>
      </w:r>
      <w:r w:rsidR="00AE6E56">
        <w:rPr>
          <w:rFonts w:ascii="Calibri" w:hAnsi="Calibri" w:cs="Tahoma"/>
          <w:sz w:val="22"/>
          <w:lang w:val="en-US"/>
        </w:rPr>
        <w:t xml:space="preserve"> </w:t>
      </w:r>
      <w:proofErr w:type="spellStart"/>
      <w:r w:rsidR="00AE6E56">
        <w:rPr>
          <w:rFonts w:ascii="Calibri" w:hAnsi="Calibri" w:cs="Tahoma"/>
          <w:sz w:val="22"/>
          <w:lang w:val="en-US"/>
        </w:rPr>
        <w:t>Programme</w:t>
      </w:r>
      <w:proofErr w:type="spellEnd"/>
      <w:r w:rsidR="00EF520B">
        <w:rPr>
          <w:rFonts w:ascii="Calibri" w:hAnsi="Calibri" w:cs="Tahoma"/>
          <w:sz w:val="22"/>
          <w:lang w:val="en-US"/>
        </w:rPr>
        <w:t xml:space="preserve"> C</w:t>
      </w:r>
      <w:r w:rsidRPr="004A0F53">
        <w:rPr>
          <w:rFonts w:ascii="Calibri" w:hAnsi="Calibri" w:cs="Tahoma"/>
          <w:sz w:val="22"/>
          <w:lang w:val="en-US"/>
        </w:rPr>
        <w:t xml:space="preserve">ommunications </w:t>
      </w:r>
      <w:r w:rsidR="00EF520B">
        <w:rPr>
          <w:rFonts w:ascii="Calibri" w:hAnsi="Calibri" w:cs="Tahoma"/>
          <w:sz w:val="22"/>
          <w:lang w:val="en-US"/>
        </w:rPr>
        <w:t>S</w:t>
      </w:r>
      <w:r w:rsidRPr="004A0F53">
        <w:rPr>
          <w:rFonts w:ascii="Calibri" w:hAnsi="Calibri" w:cs="Tahoma"/>
          <w:sz w:val="22"/>
          <w:lang w:val="en-US"/>
        </w:rPr>
        <w:t xml:space="preserve">trategy and should be read in conjunction with it.  </w:t>
      </w:r>
    </w:p>
    <w:p w14:paraId="0D4345AF" w14:textId="77777777"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p>
    <w:p w14:paraId="68D5010C" w14:textId="26FA3264" w:rsidR="005C32C3" w:rsidRDefault="005C32C3" w:rsidP="0079729E">
      <w:pPr>
        <w:pStyle w:val="ListParagraph"/>
        <w:ind w:left="0"/>
        <w:textAlignment w:val="baseline"/>
        <w:rPr>
          <w:rFonts w:ascii="Calibri" w:hAnsi="Calibri" w:cs="Tahoma"/>
          <w:b/>
          <w:color w:val="000000"/>
          <w:kern w:val="24"/>
          <w:sz w:val="22"/>
          <w:szCs w:val="22"/>
        </w:rPr>
      </w:pPr>
      <w:r>
        <w:rPr>
          <w:rFonts w:ascii="Calibri" w:hAnsi="Calibri" w:cs="Tahoma"/>
          <w:b/>
          <w:color w:val="000000"/>
          <w:kern w:val="24"/>
          <w:sz w:val="22"/>
          <w:szCs w:val="22"/>
        </w:rPr>
        <w:t xml:space="preserve">Background to </w:t>
      </w:r>
      <w:r w:rsidR="00AE6E56">
        <w:rPr>
          <w:rFonts w:ascii="Calibri" w:hAnsi="Calibri" w:cs="Tahoma"/>
          <w:b/>
          <w:color w:val="000000"/>
          <w:kern w:val="24"/>
          <w:sz w:val="22"/>
          <w:szCs w:val="22"/>
        </w:rPr>
        <w:t>the</w:t>
      </w:r>
      <w:r>
        <w:rPr>
          <w:rFonts w:ascii="Calibri" w:hAnsi="Calibri" w:cs="Tahoma"/>
          <w:b/>
          <w:color w:val="000000"/>
          <w:kern w:val="24"/>
          <w:sz w:val="22"/>
          <w:szCs w:val="22"/>
        </w:rPr>
        <w:t xml:space="preserve"> Hydrant</w:t>
      </w:r>
      <w:r w:rsidR="00AE6E56">
        <w:rPr>
          <w:rFonts w:ascii="Calibri" w:hAnsi="Calibri" w:cs="Tahoma"/>
          <w:b/>
          <w:color w:val="000000"/>
          <w:kern w:val="24"/>
          <w:sz w:val="22"/>
          <w:szCs w:val="22"/>
        </w:rPr>
        <w:t xml:space="preserve"> Programme</w:t>
      </w:r>
    </w:p>
    <w:p w14:paraId="4E960539" w14:textId="673AEBA2" w:rsidR="005C32C3" w:rsidRDefault="005C32C3" w:rsidP="0079729E">
      <w:pPr>
        <w:pStyle w:val="ListParagraph"/>
        <w:ind w:left="0"/>
        <w:textAlignment w:val="baseline"/>
        <w:rPr>
          <w:rFonts w:ascii="Calibri" w:hAnsi="Calibri" w:cs="Tahoma"/>
          <w:b/>
          <w:color w:val="000000"/>
          <w:kern w:val="24"/>
          <w:sz w:val="22"/>
          <w:szCs w:val="22"/>
        </w:rPr>
      </w:pPr>
    </w:p>
    <w:p w14:paraId="1F63C893" w14:textId="7777777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 xml:space="preserve">Operation Hydrant was established in 2014 following a surge in reporting by adult victims and survivors of non-recent child sexual abuse, prompted by revelations of the </w:t>
      </w:r>
      <w:proofErr w:type="gramStart"/>
      <w:r w:rsidRPr="002D7868">
        <w:rPr>
          <w:rFonts w:asciiTheme="minorHAnsi" w:eastAsia="Calibri" w:hAnsiTheme="minorHAnsi" w:cstheme="minorHAnsi"/>
          <w:sz w:val="22"/>
        </w:rPr>
        <w:t>large scale</w:t>
      </w:r>
      <w:proofErr w:type="gramEnd"/>
      <w:r w:rsidRPr="002D7868">
        <w:rPr>
          <w:rFonts w:asciiTheme="minorHAnsi" w:eastAsia="Calibri" w:hAnsiTheme="minorHAnsi" w:cstheme="minorHAnsi"/>
          <w:sz w:val="22"/>
        </w:rPr>
        <w:t xml:space="preserve"> offending by Jimmy Savile following his death. This led to a significant focus in the public narrative on child sexual abuse committed by people in positions of power, authority, and trust, and the holding of institutions to account for their response to victims of child sexual abuse.</w:t>
      </w:r>
    </w:p>
    <w:p w14:paraId="52127C47" w14:textId="7777777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 xml:space="preserve">Operation Hydrant was initially established primarily to provide operational coordination around the surge in victim and survivor reporting. However, since its inception, Operation Hydrant has evolved organically, flexed, </w:t>
      </w:r>
      <w:proofErr w:type="gramStart"/>
      <w:r w:rsidRPr="002D7868">
        <w:rPr>
          <w:rFonts w:asciiTheme="minorHAnsi" w:eastAsia="Calibri" w:hAnsiTheme="minorHAnsi" w:cstheme="minorHAnsi"/>
          <w:sz w:val="22"/>
        </w:rPr>
        <w:t>adapted</w:t>
      </w:r>
      <w:proofErr w:type="gramEnd"/>
      <w:r w:rsidRPr="002D7868">
        <w:rPr>
          <w:rFonts w:asciiTheme="minorHAnsi" w:eastAsia="Calibri" w:hAnsiTheme="minorHAnsi" w:cstheme="minorHAnsi"/>
          <w:sz w:val="22"/>
        </w:rPr>
        <w:t xml:space="preserve"> and responded dynamically to provide coordination for policing across a range of matters relating to child sexual abuse, child sexual exploitation, and the spectrum of wider vulnerability. </w:t>
      </w:r>
    </w:p>
    <w:p w14:paraId="2A369792" w14:textId="7777777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This has resulted in a structure which is effectively being called upon, and delivering, a wide range of outcomes for policing and key partners and stakeholders, which fall outside its original purpose and scope.</w:t>
      </w:r>
    </w:p>
    <w:p w14:paraId="0B618579" w14:textId="7777777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In addition to this, the operating context has moved on. Key variables in this context include:</w:t>
      </w:r>
    </w:p>
    <w:p w14:paraId="374A26BC" w14:textId="77777777" w:rsidR="002D7868" w:rsidRPr="002D7868" w:rsidRDefault="002D7868" w:rsidP="002D7868">
      <w:pPr>
        <w:numPr>
          <w:ilvl w:val="0"/>
          <w:numId w:val="17"/>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The conclusion of the work of the IICSA in late 2022. This will remove the requirement for Operation Hydrant to act as the interface between the work of the Inquiry and policing.</w:t>
      </w:r>
    </w:p>
    <w:p w14:paraId="32BCC17B" w14:textId="77777777" w:rsidR="002D7868" w:rsidRPr="002D7868" w:rsidRDefault="002D7868" w:rsidP="002D7868">
      <w:pPr>
        <w:numPr>
          <w:ilvl w:val="0"/>
          <w:numId w:val="17"/>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 xml:space="preserve">A shift in focus on the type of suspects subject to non-recent allegations. People of Public Prominence now form less than 3% of all recorded allegations, and within this category, the suspects are not generally household names or </w:t>
      </w:r>
      <w:proofErr w:type="gramStart"/>
      <w:r w:rsidRPr="002D7868">
        <w:rPr>
          <w:rFonts w:asciiTheme="minorHAnsi" w:eastAsia="Calibri" w:hAnsiTheme="minorHAnsi" w:cstheme="minorHAnsi"/>
          <w:sz w:val="22"/>
        </w:rPr>
        <w:t>high profile</w:t>
      </w:r>
      <w:proofErr w:type="gramEnd"/>
      <w:r w:rsidRPr="002D7868">
        <w:rPr>
          <w:rFonts w:asciiTheme="minorHAnsi" w:eastAsia="Calibri" w:hAnsiTheme="minorHAnsi" w:cstheme="minorHAnsi"/>
          <w:sz w:val="22"/>
        </w:rPr>
        <w:t xml:space="preserve"> individuals likely to attract intense and prolonged media and public scrutiny and interest. In 2014, allegations and speculation regarding abuse by high profile individuals dominated the public narrative, today this is no longer the case.</w:t>
      </w:r>
    </w:p>
    <w:p w14:paraId="0E575498" w14:textId="77777777" w:rsidR="002D7868" w:rsidRPr="002D7868" w:rsidRDefault="002D7868" w:rsidP="002D7868">
      <w:pPr>
        <w:numPr>
          <w:ilvl w:val="0"/>
          <w:numId w:val="17"/>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Large and complex investigations spanning multiple forces are now rare, removing the requirement for Operation Hydrant to coordinate the policing response, and secure primacy. Processes in place today provide adequately for primacy to be achieved without the requirement for national coordination.</w:t>
      </w:r>
    </w:p>
    <w:p w14:paraId="4754F494" w14:textId="77777777" w:rsidR="002D7868" w:rsidRPr="002D7868" w:rsidRDefault="002D7868" w:rsidP="002D7868">
      <w:pPr>
        <w:numPr>
          <w:ilvl w:val="0"/>
          <w:numId w:val="17"/>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Developments in technology have removed the requirement for Operation Hydrant to provide an operational coordination and deconfliction function. This includes advancements in PND.</w:t>
      </w:r>
    </w:p>
    <w:p w14:paraId="2137B5CC" w14:textId="77777777" w:rsidR="002D7868" w:rsidRPr="002D7868" w:rsidRDefault="002D7868" w:rsidP="002D7868">
      <w:pPr>
        <w:spacing w:after="160" w:line="240" w:lineRule="auto"/>
        <w:jc w:val="left"/>
        <w:rPr>
          <w:rFonts w:asciiTheme="minorHAnsi" w:eastAsia="Calibri" w:hAnsiTheme="minorHAnsi" w:cstheme="minorHAnsi"/>
          <w:sz w:val="22"/>
        </w:rPr>
      </w:pPr>
    </w:p>
    <w:p w14:paraId="429E0279" w14:textId="77777777" w:rsidR="00950719" w:rsidRDefault="002D7868" w:rsidP="002D7868">
      <w:pPr>
        <w:spacing w:after="160" w:line="240" w:lineRule="auto"/>
        <w:jc w:val="left"/>
        <w:rPr>
          <w:rFonts w:asciiTheme="minorHAnsi" w:eastAsia="Calibri" w:hAnsiTheme="minorHAnsi" w:cstheme="minorHAnsi"/>
          <w:sz w:val="22"/>
        </w:rPr>
      </w:pPr>
      <w:proofErr w:type="gramStart"/>
      <w:r w:rsidRPr="002D7868">
        <w:rPr>
          <w:rFonts w:asciiTheme="minorHAnsi" w:eastAsia="Calibri" w:hAnsiTheme="minorHAnsi" w:cstheme="minorHAnsi"/>
          <w:sz w:val="22"/>
        </w:rPr>
        <w:t>On the basis of</w:t>
      </w:r>
      <w:proofErr w:type="gramEnd"/>
      <w:r w:rsidRPr="002D7868">
        <w:rPr>
          <w:rFonts w:asciiTheme="minorHAnsi" w:eastAsia="Calibri" w:hAnsiTheme="minorHAnsi" w:cstheme="minorHAnsi"/>
          <w:sz w:val="22"/>
        </w:rPr>
        <w:t xml:space="preserve"> these factors, Operation Hydrant undertook a process of consultation and review in 2021 to determine the value and impact of the functions currently delivered, measure demand across its business functions, and to identify potential gaps to inform forward planning. </w:t>
      </w:r>
    </w:p>
    <w:p w14:paraId="2948F9B4" w14:textId="1737615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lastRenderedPageBreak/>
        <w:t>The outcomes of this process informed the future structures recommendations, which were shared with the NPCC lead for CPAI for sign off in October 2021: the Operation Hydrant governance group in November 2021; and the CPAI working group in November 2021.</w:t>
      </w:r>
    </w:p>
    <w:p w14:paraId="6FA04947" w14:textId="7777777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The review concluded that Operation Hydrant provided a range of functions to national policing, which it was important to continue delivering, and for which there was continued or expanding demand. These included:</w:t>
      </w:r>
    </w:p>
    <w:p w14:paraId="73280F4B"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The coordination function in respect of national or critical issues which overarch local investigations and national policing portfolios.</w:t>
      </w:r>
    </w:p>
    <w:p w14:paraId="62DF9CAA"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 xml:space="preserve">Acting as a centre of expertise on child sexual abuse and exploitation, capturing learning and disseminating good practice and producing resources for policing, undertaking the critical friend function both informally and formally. </w:t>
      </w:r>
    </w:p>
    <w:p w14:paraId="378A1FAB"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The Peer Review and Peer Support function.</w:t>
      </w:r>
    </w:p>
    <w:p w14:paraId="48EDAAE7" w14:textId="69A88135"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The capacity to provide</w:t>
      </w:r>
      <w:r w:rsidR="00D92FFE">
        <w:rPr>
          <w:rFonts w:asciiTheme="minorHAnsi" w:eastAsia="Calibri" w:hAnsiTheme="minorHAnsi" w:cstheme="minorHAnsi"/>
          <w:sz w:val="22"/>
        </w:rPr>
        <w:t xml:space="preserve"> or contribute to,</w:t>
      </w:r>
      <w:r w:rsidRPr="002D7868">
        <w:rPr>
          <w:rFonts w:asciiTheme="minorHAnsi" w:eastAsia="Calibri" w:hAnsiTheme="minorHAnsi" w:cstheme="minorHAnsi"/>
          <w:sz w:val="22"/>
        </w:rPr>
        <w:t xml:space="preserve"> a national strategic analytical function.</w:t>
      </w:r>
    </w:p>
    <w:p w14:paraId="60C23A34"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The ability to provide a national coordinating response to emerging issues of criticality or complexity.</w:t>
      </w:r>
    </w:p>
    <w:p w14:paraId="163FD860"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Receiving safeguarding referrals from non-policing organisations and disseminating within policing.</w:t>
      </w:r>
    </w:p>
    <w:p w14:paraId="2A5C9B8A"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 xml:space="preserve">Proactively engaging with partners and stakeholders to build and develop pathways between policing and other organisations, </w:t>
      </w:r>
    </w:p>
    <w:p w14:paraId="3DC7CD9B" w14:textId="77777777" w:rsidR="002D7868" w:rsidRPr="002D7868" w:rsidRDefault="002D7868" w:rsidP="002D7868">
      <w:pPr>
        <w:numPr>
          <w:ilvl w:val="0"/>
          <w:numId w:val="18"/>
        </w:numPr>
        <w:spacing w:after="160" w:line="240" w:lineRule="auto"/>
        <w:contextualSpacing/>
        <w:jc w:val="left"/>
        <w:rPr>
          <w:rFonts w:asciiTheme="minorHAnsi" w:eastAsia="Calibri" w:hAnsiTheme="minorHAnsi" w:cstheme="minorHAnsi"/>
          <w:sz w:val="22"/>
        </w:rPr>
      </w:pPr>
      <w:r w:rsidRPr="002D7868">
        <w:rPr>
          <w:rFonts w:asciiTheme="minorHAnsi" w:eastAsia="Calibri" w:hAnsiTheme="minorHAnsi" w:cstheme="minorHAnsi"/>
          <w:sz w:val="22"/>
        </w:rPr>
        <w:t xml:space="preserve">Ensuring that those key stakeholders are informed on the policing approach and </w:t>
      </w:r>
      <w:proofErr w:type="gramStart"/>
      <w:r w:rsidRPr="002D7868">
        <w:rPr>
          <w:rFonts w:asciiTheme="minorHAnsi" w:eastAsia="Calibri" w:hAnsiTheme="minorHAnsi" w:cstheme="minorHAnsi"/>
          <w:sz w:val="22"/>
        </w:rPr>
        <w:t>have the opportunity to</w:t>
      </w:r>
      <w:proofErr w:type="gramEnd"/>
      <w:r w:rsidRPr="002D7868">
        <w:rPr>
          <w:rFonts w:asciiTheme="minorHAnsi" w:eastAsia="Calibri" w:hAnsiTheme="minorHAnsi" w:cstheme="minorHAnsi"/>
          <w:sz w:val="22"/>
        </w:rPr>
        <w:t xml:space="preserve"> dialogue around shared issues relating to vulnerability. </w:t>
      </w:r>
    </w:p>
    <w:p w14:paraId="3527904C" w14:textId="77777777" w:rsidR="002D7868" w:rsidRPr="002D7868" w:rsidRDefault="002D7868" w:rsidP="002D7868">
      <w:pPr>
        <w:spacing w:after="160" w:line="240" w:lineRule="auto"/>
        <w:jc w:val="left"/>
        <w:rPr>
          <w:rFonts w:asciiTheme="minorHAnsi" w:eastAsia="Calibri" w:hAnsiTheme="minorHAnsi" w:cstheme="minorHAnsi"/>
          <w:sz w:val="22"/>
        </w:rPr>
      </w:pPr>
    </w:p>
    <w:p w14:paraId="49D7770B" w14:textId="0BDADF29"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 xml:space="preserve">The review also concluded that the current requirement of national policing from Operation Hydrant was for an operating model which delivered the functions identified above, but which did so beyond the current narrow criteria focused on non-recent child sexual abuse by people of prominence or within an institutional setting. In practice, Operation Hydrant has been delivering within this wider arena for some time already, meeting the needs of forces, and bridging a gap in current service delivery available elsewhere. This “wider offer” will therefore encompass child sexual abuse and exploitation, and not just non-recent child sexual abuse within the established Operation Hydrant </w:t>
      </w:r>
      <w:proofErr w:type="gramStart"/>
      <w:r w:rsidRPr="002D7868">
        <w:rPr>
          <w:rFonts w:asciiTheme="minorHAnsi" w:eastAsia="Calibri" w:hAnsiTheme="minorHAnsi" w:cstheme="minorHAnsi"/>
          <w:sz w:val="22"/>
        </w:rPr>
        <w:t>criteria</w:t>
      </w:r>
      <w:r w:rsidR="00950719">
        <w:rPr>
          <w:rFonts w:asciiTheme="minorHAnsi" w:eastAsia="Calibri" w:hAnsiTheme="minorHAnsi" w:cstheme="minorHAnsi"/>
          <w:sz w:val="22"/>
        </w:rPr>
        <w:t>, but</w:t>
      </w:r>
      <w:proofErr w:type="gramEnd"/>
      <w:r w:rsidR="00950719">
        <w:rPr>
          <w:rFonts w:asciiTheme="minorHAnsi" w:eastAsia="Calibri" w:hAnsiTheme="minorHAnsi" w:cstheme="minorHAnsi"/>
          <w:sz w:val="22"/>
        </w:rPr>
        <w:t xml:space="preserve"> support the full spectrum of work falling within the NPCC child protection and abuse investigation portfolio</w:t>
      </w:r>
      <w:r w:rsidRPr="002D7868">
        <w:rPr>
          <w:rFonts w:asciiTheme="minorHAnsi" w:eastAsia="Calibri" w:hAnsiTheme="minorHAnsi" w:cstheme="minorHAnsi"/>
          <w:sz w:val="22"/>
        </w:rPr>
        <w:t>.</w:t>
      </w:r>
    </w:p>
    <w:p w14:paraId="6F0FD5DB" w14:textId="77777777" w:rsidR="002D7868" w:rsidRP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 xml:space="preserve">The review also recommended that other functions, which no longer add value or have been superseded, would be withdrawn. These include the maintenance of a HOLMES database for the purposes of operational coordination and deconfliction and its supporting functions. Operation Hydrant’s role as interface to the Independent Inquiry into Child Sexual Abuse would naturally conclude following publication of the IICSA’s final report in 2022, and the conclusion of the statutory period which follows it.  </w:t>
      </w:r>
    </w:p>
    <w:p w14:paraId="4D871750" w14:textId="2D451C63" w:rsidR="002D7868" w:rsidRDefault="002D7868" w:rsidP="002D7868">
      <w:pPr>
        <w:spacing w:after="160" w:line="240" w:lineRule="auto"/>
        <w:jc w:val="left"/>
        <w:rPr>
          <w:rFonts w:asciiTheme="minorHAnsi" w:eastAsia="Calibri" w:hAnsiTheme="minorHAnsi" w:cstheme="minorHAnsi"/>
          <w:sz w:val="22"/>
        </w:rPr>
      </w:pPr>
      <w:r w:rsidRPr="002D7868">
        <w:rPr>
          <w:rFonts w:asciiTheme="minorHAnsi" w:eastAsia="Calibri" w:hAnsiTheme="minorHAnsi" w:cstheme="minorHAnsi"/>
          <w:sz w:val="22"/>
        </w:rPr>
        <w:t>A Restructure Implementation Project, reporting to the Operation Hydrant Governance Group, overs</w:t>
      </w:r>
      <w:r w:rsidR="00D92FFE">
        <w:rPr>
          <w:rFonts w:asciiTheme="minorHAnsi" w:eastAsia="Calibri" w:hAnsiTheme="minorHAnsi" w:cstheme="minorHAnsi"/>
          <w:sz w:val="22"/>
        </w:rPr>
        <w:t>aw</w:t>
      </w:r>
      <w:r w:rsidRPr="002D7868">
        <w:rPr>
          <w:rFonts w:asciiTheme="minorHAnsi" w:eastAsia="Calibri" w:hAnsiTheme="minorHAnsi" w:cstheme="minorHAnsi"/>
          <w:sz w:val="22"/>
        </w:rPr>
        <w:t xml:space="preserve"> and direct</w:t>
      </w:r>
      <w:r w:rsidR="00D92FFE">
        <w:rPr>
          <w:rFonts w:asciiTheme="minorHAnsi" w:eastAsia="Calibri" w:hAnsiTheme="minorHAnsi" w:cstheme="minorHAnsi"/>
          <w:sz w:val="22"/>
        </w:rPr>
        <w:t>ed</w:t>
      </w:r>
      <w:r w:rsidRPr="002D7868">
        <w:rPr>
          <w:rFonts w:asciiTheme="minorHAnsi" w:eastAsia="Calibri" w:hAnsiTheme="minorHAnsi" w:cstheme="minorHAnsi"/>
          <w:sz w:val="22"/>
        </w:rPr>
        <w:t xml:space="preserve"> the transition to the new structures</w:t>
      </w:r>
      <w:r w:rsidR="00950719">
        <w:rPr>
          <w:rFonts w:asciiTheme="minorHAnsi" w:eastAsia="Calibri" w:hAnsiTheme="minorHAnsi" w:cstheme="minorHAnsi"/>
          <w:sz w:val="22"/>
        </w:rPr>
        <w:t xml:space="preserve">, with </w:t>
      </w:r>
      <w:r w:rsidRPr="002D7868">
        <w:rPr>
          <w:rFonts w:asciiTheme="minorHAnsi" w:eastAsia="Calibri" w:hAnsiTheme="minorHAnsi" w:cstheme="minorHAnsi"/>
          <w:sz w:val="22"/>
        </w:rPr>
        <w:t xml:space="preserve">2022 as a transition year, full new structures in place by </w:t>
      </w:r>
      <w:r w:rsidR="00950719">
        <w:rPr>
          <w:rFonts w:asciiTheme="minorHAnsi" w:eastAsia="Calibri" w:hAnsiTheme="minorHAnsi" w:cstheme="minorHAnsi"/>
          <w:sz w:val="22"/>
        </w:rPr>
        <w:t>1 August</w:t>
      </w:r>
      <w:r w:rsidRPr="002D7868">
        <w:rPr>
          <w:rFonts w:asciiTheme="minorHAnsi" w:eastAsia="Calibri" w:hAnsiTheme="minorHAnsi" w:cstheme="minorHAnsi"/>
          <w:sz w:val="22"/>
        </w:rPr>
        <w:t xml:space="preserve"> 2022, and embedding through the latter part of 2022. </w:t>
      </w:r>
    </w:p>
    <w:p w14:paraId="4F5ED9DB" w14:textId="417504FC" w:rsidR="00950719" w:rsidRPr="002D7868" w:rsidRDefault="00950719" w:rsidP="002D7868">
      <w:pPr>
        <w:spacing w:after="160" w:line="240" w:lineRule="auto"/>
        <w:jc w:val="left"/>
        <w:rPr>
          <w:rFonts w:asciiTheme="minorHAnsi" w:eastAsia="Calibri" w:hAnsiTheme="minorHAnsi" w:cstheme="minorHAnsi"/>
          <w:sz w:val="22"/>
        </w:rPr>
      </w:pPr>
      <w:r>
        <w:rPr>
          <w:rFonts w:asciiTheme="minorHAnsi" w:eastAsia="Calibri" w:hAnsiTheme="minorHAnsi" w:cstheme="minorHAnsi"/>
          <w:sz w:val="22"/>
        </w:rPr>
        <w:t>In 2016, for the purposes of transparency and accountability, Operation Hydrant established an FOI Publication Strategy. Upon transition to the new structure on 1 August 2022, this FOI Publication Strategy was closed. The data published within it will remain accessible via the NPCC website. This FOI Publication Strategy was established to meet the needs of the Hydrant Programme.</w:t>
      </w:r>
    </w:p>
    <w:p w14:paraId="5A6E88AE" w14:textId="5D7E6B74" w:rsidR="002D7868" w:rsidRPr="002D7868" w:rsidRDefault="002D7868" w:rsidP="002D7868">
      <w:pPr>
        <w:pStyle w:val="ListParagraph"/>
        <w:ind w:left="0"/>
        <w:textAlignment w:val="baseline"/>
        <w:rPr>
          <w:rFonts w:asciiTheme="minorHAnsi" w:hAnsiTheme="minorHAnsi" w:cstheme="minorHAnsi"/>
          <w:b/>
          <w:color w:val="000000"/>
          <w:kern w:val="24"/>
          <w:sz w:val="22"/>
          <w:szCs w:val="22"/>
        </w:rPr>
      </w:pPr>
    </w:p>
    <w:p w14:paraId="55ED1EBA" w14:textId="77777777" w:rsidR="002D7868" w:rsidRDefault="002D7868" w:rsidP="0079729E">
      <w:pPr>
        <w:pStyle w:val="ListParagraph"/>
        <w:ind w:left="0"/>
        <w:textAlignment w:val="baseline"/>
        <w:rPr>
          <w:rFonts w:ascii="Calibri" w:hAnsi="Calibri" w:cs="Tahoma"/>
          <w:b/>
          <w:color w:val="000000"/>
          <w:kern w:val="24"/>
          <w:sz w:val="22"/>
          <w:szCs w:val="22"/>
        </w:rPr>
      </w:pPr>
    </w:p>
    <w:p w14:paraId="0BB2ECBD" w14:textId="77777777" w:rsidR="005C32C3" w:rsidRPr="0079729E" w:rsidRDefault="005C32C3" w:rsidP="008C62B4">
      <w:pPr>
        <w:overflowPunct w:val="0"/>
        <w:autoSpaceDE w:val="0"/>
        <w:autoSpaceDN w:val="0"/>
        <w:adjustRightInd w:val="0"/>
        <w:spacing w:after="0" w:line="240" w:lineRule="auto"/>
        <w:ind w:hanging="11"/>
        <w:jc w:val="left"/>
        <w:textAlignment w:val="baseline"/>
        <w:rPr>
          <w:rFonts w:ascii="Calibri" w:hAnsi="Calibri" w:cs="Tahoma"/>
          <w:b/>
          <w:sz w:val="22"/>
          <w:lang w:val="en-US"/>
        </w:rPr>
      </w:pPr>
      <w:r w:rsidRPr="0079729E">
        <w:rPr>
          <w:rFonts w:ascii="Calibri" w:hAnsi="Calibri" w:cs="Tahoma"/>
          <w:b/>
          <w:sz w:val="22"/>
          <w:lang w:val="en-US"/>
        </w:rPr>
        <w:t>Freedom of Information Act 2000 (FOI)</w:t>
      </w:r>
    </w:p>
    <w:p w14:paraId="6A30B698" w14:textId="77777777"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p>
    <w:p w14:paraId="69D9DE4D" w14:textId="677B5B00"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r>
        <w:rPr>
          <w:rFonts w:ascii="Calibri" w:hAnsi="Calibri" w:cs="Tahoma"/>
          <w:sz w:val="22"/>
          <w:lang w:val="en-US"/>
        </w:rPr>
        <w:t xml:space="preserve">The legislation gives the public an automatic right to request information from a public authority (PA).  For the purposes of </w:t>
      </w:r>
      <w:r w:rsidR="00950719">
        <w:rPr>
          <w:rFonts w:ascii="Calibri" w:hAnsi="Calibri" w:cs="Tahoma"/>
          <w:sz w:val="22"/>
          <w:lang w:val="en-US"/>
        </w:rPr>
        <w:t>the</w:t>
      </w:r>
      <w:r w:rsidR="00FD48A8">
        <w:rPr>
          <w:rFonts w:ascii="Calibri" w:hAnsi="Calibri" w:cs="Tahoma"/>
          <w:sz w:val="22"/>
          <w:lang w:val="en-US"/>
        </w:rPr>
        <w:t xml:space="preserve"> Hydrant</w:t>
      </w:r>
      <w:r w:rsidR="00950719">
        <w:rPr>
          <w:rFonts w:ascii="Calibri" w:hAnsi="Calibri" w:cs="Tahoma"/>
          <w:sz w:val="22"/>
          <w:lang w:val="en-US"/>
        </w:rPr>
        <w:t xml:space="preserve"> </w:t>
      </w:r>
      <w:proofErr w:type="spellStart"/>
      <w:r w:rsidR="00950719">
        <w:rPr>
          <w:rFonts w:ascii="Calibri" w:hAnsi="Calibri" w:cs="Tahoma"/>
          <w:sz w:val="22"/>
          <w:lang w:val="en-US"/>
        </w:rPr>
        <w:t>Programme</w:t>
      </w:r>
      <w:proofErr w:type="spellEnd"/>
      <w:r>
        <w:rPr>
          <w:rFonts w:ascii="Calibri" w:hAnsi="Calibri" w:cs="Tahoma"/>
          <w:sz w:val="22"/>
          <w:lang w:val="en-US"/>
        </w:rPr>
        <w:t xml:space="preserve"> the relevant public authorities will be the NPCC and all home office forces holding relevant information.  It is important to note that any information held by a public authority (PA) for a business purpose, regardless of its origins or author, will be subject to the legislation.  It is mandated that the information holder, receiving the request, will be solely responsible </w:t>
      </w:r>
      <w:r w:rsidR="00FD48A8">
        <w:rPr>
          <w:rFonts w:ascii="Calibri" w:hAnsi="Calibri" w:cs="Tahoma"/>
          <w:sz w:val="22"/>
          <w:lang w:val="en-US"/>
        </w:rPr>
        <w:t>for</w:t>
      </w:r>
      <w:r>
        <w:rPr>
          <w:rFonts w:ascii="Calibri" w:hAnsi="Calibri" w:cs="Tahoma"/>
          <w:sz w:val="22"/>
          <w:lang w:val="en-US"/>
        </w:rPr>
        <w:t xml:space="preserve"> decisions regarding disclosure.  However, </w:t>
      </w:r>
      <w:r>
        <w:rPr>
          <w:rFonts w:ascii="Calibri" w:hAnsi="Calibri" w:cs="Tahoma"/>
          <w:sz w:val="22"/>
          <w:lang w:val="en-US"/>
        </w:rPr>
        <w:lastRenderedPageBreak/>
        <w:t>under Part IV of the Secretary of State</w:t>
      </w:r>
      <w:r w:rsidR="00FD48A8">
        <w:rPr>
          <w:rFonts w:ascii="Calibri" w:hAnsi="Calibri" w:cs="Tahoma"/>
          <w:sz w:val="22"/>
          <w:lang w:val="en-US"/>
        </w:rPr>
        <w:t>’</w:t>
      </w:r>
      <w:r>
        <w:rPr>
          <w:rFonts w:ascii="Calibri" w:hAnsi="Calibri" w:cs="Tahoma"/>
          <w:sz w:val="22"/>
          <w:lang w:val="en-US"/>
        </w:rPr>
        <w:t>s Code of Practice, governed by section 45 of the legislation, there is a clearly defined requirement to consult with third parties who may be affected by any such disclosures.</w:t>
      </w:r>
    </w:p>
    <w:p w14:paraId="66321E31" w14:textId="77777777"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p>
    <w:p w14:paraId="2BBD1F0F" w14:textId="4E2E77C9"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proofErr w:type="gramStart"/>
      <w:r>
        <w:rPr>
          <w:rFonts w:ascii="Calibri" w:hAnsi="Calibri" w:cs="Tahoma"/>
          <w:sz w:val="22"/>
          <w:lang w:val="en-US"/>
        </w:rPr>
        <w:t>In order to</w:t>
      </w:r>
      <w:proofErr w:type="gramEnd"/>
      <w:r>
        <w:rPr>
          <w:rFonts w:ascii="Calibri" w:hAnsi="Calibri" w:cs="Tahoma"/>
          <w:sz w:val="22"/>
          <w:lang w:val="en-US"/>
        </w:rPr>
        <w:t xml:space="preserve"> facilitate this</w:t>
      </w:r>
      <w:r w:rsidR="00FD48A8">
        <w:rPr>
          <w:rFonts w:ascii="Calibri" w:hAnsi="Calibri" w:cs="Tahoma"/>
          <w:sz w:val="22"/>
          <w:lang w:val="en-US"/>
        </w:rPr>
        <w:t>,</w:t>
      </w:r>
      <w:r>
        <w:rPr>
          <w:rFonts w:ascii="Calibri" w:hAnsi="Calibri" w:cs="Tahoma"/>
          <w:sz w:val="22"/>
          <w:lang w:val="en-US"/>
        </w:rPr>
        <w:t xml:space="preserve"> all FOI requests capturing Hydrant</w:t>
      </w:r>
      <w:r w:rsidR="00446011">
        <w:rPr>
          <w:rFonts w:ascii="Calibri" w:hAnsi="Calibri" w:cs="Tahoma"/>
          <w:sz w:val="22"/>
          <w:lang w:val="en-US"/>
        </w:rPr>
        <w:t xml:space="preserve"> </w:t>
      </w:r>
      <w:proofErr w:type="spellStart"/>
      <w:r w:rsidR="00446011">
        <w:rPr>
          <w:rFonts w:ascii="Calibri" w:hAnsi="Calibri" w:cs="Tahoma"/>
          <w:sz w:val="22"/>
          <w:lang w:val="en-US"/>
        </w:rPr>
        <w:t>Programme</w:t>
      </w:r>
      <w:proofErr w:type="spellEnd"/>
      <w:r>
        <w:rPr>
          <w:rFonts w:ascii="Calibri" w:hAnsi="Calibri" w:cs="Tahoma"/>
          <w:sz w:val="22"/>
          <w:lang w:val="en-US"/>
        </w:rPr>
        <w:t xml:space="preserve"> information, are until further notice, considered to be a mandatory referral to the NPCC Freedom of Information and Data Protection Unit (NPFDU) as per College of Policing </w:t>
      </w:r>
      <w:proofErr w:type="spellStart"/>
      <w:r>
        <w:rPr>
          <w:rFonts w:ascii="Calibri" w:hAnsi="Calibri" w:cs="Tahoma"/>
          <w:sz w:val="22"/>
          <w:lang w:val="en-US"/>
        </w:rPr>
        <w:t>Authorised</w:t>
      </w:r>
      <w:proofErr w:type="spellEnd"/>
      <w:r>
        <w:rPr>
          <w:rFonts w:ascii="Calibri" w:hAnsi="Calibri" w:cs="Tahoma"/>
          <w:sz w:val="22"/>
          <w:lang w:val="en-US"/>
        </w:rPr>
        <w:t xml:space="preserve"> Professional Practice (APP), a process all chief officers are signed up to.  Upon receipt of a referral, the NPFDU wi</w:t>
      </w:r>
      <w:r w:rsidR="000F49F8">
        <w:rPr>
          <w:rFonts w:ascii="Calibri" w:hAnsi="Calibri" w:cs="Tahoma"/>
          <w:sz w:val="22"/>
          <w:lang w:val="en-US"/>
        </w:rPr>
        <w:t>ll ensure that the Hydrant</w:t>
      </w:r>
      <w:r w:rsidR="00446011">
        <w:rPr>
          <w:rFonts w:ascii="Calibri" w:hAnsi="Calibri" w:cs="Tahoma"/>
          <w:sz w:val="22"/>
          <w:lang w:val="en-US"/>
        </w:rPr>
        <w:t xml:space="preserve"> </w:t>
      </w:r>
      <w:proofErr w:type="spellStart"/>
      <w:r w:rsidR="00446011">
        <w:rPr>
          <w:rFonts w:ascii="Calibri" w:hAnsi="Calibri" w:cs="Tahoma"/>
          <w:sz w:val="22"/>
          <w:lang w:val="en-US"/>
        </w:rPr>
        <w:t>Programme</w:t>
      </w:r>
      <w:proofErr w:type="spellEnd"/>
      <w:r w:rsidR="000F49F8">
        <w:rPr>
          <w:rFonts w:ascii="Calibri" w:hAnsi="Calibri" w:cs="Tahoma"/>
          <w:sz w:val="22"/>
          <w:lang w:val="en-US"/>
        </w:rPr>
        <w:t xml:space="preserve"> communications team</w:t>
      </w:r>
      <w:r>
        <w:rPr>
          <w:rFonts w:ascii="Calibri" w:hAnsi="Calibri" w:cs="Tahoma"/>
          <w:sz w:val="22"/>
          <w:lang w:val="en-US"/>
        </w:rPr>
        <w:t xml:space="preserve"> and stakeholders are consulted for a view on disclosure or retention of the requested information.  In addition, whil</w:t>
      </w:r>
      <w:r w:rsidR="00FD48A8">
        <w:rPr>
          <w:rFonts w:ascii="Calibri" w:hAnsi="Calibri" w:cs="Tahoma"/>
          <w:sz w:val="22"/>
          <w:lang w:val="en-US"/>
        </w:rPr>
        <w:t>s</w:t>
      </w:r>
      <w:r>
        <w:rPr>
          <w:rFonts w:ascii="Calibri" w:hAnsi="Calibri" w:cs="Tahoma"/>
          <w:sz w:val="22"/>
          <w:lang w:val="en-US"/>
        </w:rPr>
        <w:t xml:space="preserve">t the application of </w:t>
      </w:r>
      <w:r w:rsidR="00446011">
        <w:rPr>
          <w:rFonts w:ascii="Calibri" w:hAnsi="Calibri" w:cs="Tahoma"/>
          <w:sz w:val="22"/>
          <w:lang w:val="en-US"/>
        </w:rPr>
        <w:t>neither confirm nor deny (</w:t>
      </w:r>
      <w:r>
        <w:rPr>
          <w:rFonts w:ascii="Calibri" w:hAnsi="Calibri" w:cs="Tahoma"/>
          <w:sz w:val="22"/>
          <w:lang w:val="en-US"/>
        </w:rPr>
        <w:t>NCND</w:t>
      </w:r>
      <w:r w:rsidR="00446011">
        <w:rPr>
          <w:rFonts w:ascii="Calibri" w:hAnsi="Calibri" w:cs="Tahoma"/>
          <w:sz w:val="22"/>
          <w:lang w:val="en-US"/>
        </w:rPr>
        <w:t>)</w:t>
      </w:r>
      <w:r>
        <w:rPr>
          <w:rFonts w:ascii="Calibri" w:hAnsi="Calibri" w:cs="Tahoma"/>
          <w:sz w:val="22"/>
          <w:lang w:val="en-US"/>
        </w:rPr>
        <w:t xml:space="preserve"> will be strictly maintained wherever possible, it cannot be considered as a blanket approach in handling such requests and must be dealt with on a case-by-case basis in line with the public interest arguments.  These collective views from the main stakeholders will be provided to the PA in receipt of the request in order that it can make a properly informed final decision which is based on a national corporate view and supplemented by their own local factors.  It is important that each request is dealt with on a </w:t>
      </w:r>
      <w:proofErr w:type="gramStart"/>
      <w:r>
        <w:rPr>
          <w:rFonts w:ascii="Calibri" w:hAnsi="Calibri" w:cs="Tahoma"/>
          <w:sz w:val="22"/>
          <w:lang w:val="en-US"/>
        </w:rPr>
        <w:t>case by case</w:t>
      </w:r>
      <w:proofErr w:type="gramEnd"/>
      <w:r>
        <w:rPr>
          <w:rFonts w:ascii="Calibri" w:hAnsi="Calibri" w:cs="Tahoma"/>
          <w:sz w:val="22"/>
          <w:lang w:val="en-US"/>
        </w:rPr>
        <w:t xml:space="preserve"> basis.</w:t>
      </w:r>
    </w:p>
    <w:p w14:paraId="115D5373" w14:textId="77777777"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p>
    <w:p w14:paraId="445723D1" w14:textId="4FB32CAB"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r>
        <w:rPr>
          <w:rFonts w:ascii="Calibri" w:hAnsi="Calibri" w:cs="Tahoma"/>
          <w:sz w:val="22"/>
          <w:lang w:val="en-US"/>
        </w:rPr>
        <w:t xml:space="preserve">Regardless of the final decision on disclosure, the </w:t>
      </w:r>
      <w:r w:rsidR="000F49F8">
        <w:rPr>
          <w:rFonts w:ascii="Calibri" w:hAnsi="Calibri" w:cs="Tahoma"/>
          <w:sz w:val="22"/>
          <w:lang w:val="en-US"/>
        </w:rPr>
        <w:t xml:space="preserve">NPFDU Central Referral Unit (CRU) </w:t>
      </w:r>
      <w:r>
        <w:rPr>
          <w:rFonts w:ascii="Calibri" w:hAnsi="Calibri" w:cs="Tahoma"/>
          <w:sz w:val="22"/>
          <w:lang w:val="en-US"/>
        </w:rPr>
        <w:t xml:space="preserve">will ensure that the </w:t>
      </w:r>
      <w:r w:rsidR="000F49F8">
        <w:rPr>
          <w:rFonts w:ascii="Calibri" w:hAnsi="Calibri" w:cs="Tahoma"/>
          <w:sz w:val="22"/>
          <w:lang w:val="en-US"/>
        </w:rPr>
        <w:t xml:space="preserve">Hydrant </w:t>
      </w:r>
      <w:proofErr w:type="spellStart"/>
      <w:r w:rsidR="00446011">
        <w:rPr>
          <w:rFonts w:ascii="Calibri" w:hAnsi="Calibri" w:cs="Tahoma"/>
          <w:sz w:val="22"/>
          <w:lang w:val="en-US"/>
        </w:rPr>
        <w:t>Programme</w:t>
      </w:r>
      <w:proofErr w:type="spellEnd"/>
      <w:r w:rsidR="00446011">
        <w:rPr>
          <w:rFonts w:ascii="Calibri" w:hAnsi="Calibri" w:cs="Tahoma"/>
          <w:sz w:val="22"/>
          <w:lang w:val="en-US"/>
        </w:rPr>
        <w:t xml:space="preserve"> </w:t>
      </w:r>
      <w:r w:rsidR="000F49F8">
        <w:rPr>
          <w:rFonts w:ascii="Calibri" w:hAnsi="Calibri" w:cs="Tahoma"/>
          <w:sz w:val="22"/>
          <w:lang w:val="en-US"/>
        </w:rPr>
        <w:t>communications t</w:t>
      </w:r>
      <w:r w:rsidR="00360BA5">
        <w:rPr>
          <w:rFonts w:ascii="Calibri" w:hAnsi="Calibri" w:cs="Tahoma"/>
          <w:sz w:val="22"/>
          <w:lang w:val="en-US"/>
        </w:rPr>
        <w:t>eam</w:t>
      </w:r>
      <w:r>
        <w:rPr>
          <w:rFonts w:ascii="Calibri" w:hAnsi="Calibri" w:cs="Tahoma"/>
          <w:sz w:val="22"/>
          <w:lang w:val="en-US"/>
        </w:rPr>
        <w:t xml:space="preserve"> </w:t>
      </w:r>
      <w:r w:rsidR="00FD48A8">
        <w:rPr>
          <w:rFonts w:ascii="Calibri" w:hAnsi="Calibri" w:cs="Tahoma"/>
          <w:sz w:val="22"/>
          <w:lang w:val="en-US"/>
        </w:rPr>
        <w:t>is</w:t>
      </w:r>
      <w:r>
        <w:rPr>
          <w:rFonts w:ascii="Calibri" w:hAnsi="Calibri" w:cs="Tahoma"/>
          <w:sz w:val="22"/>
          <w:lang w:val="en-US"/>
        </w:rPr>
        <w:t xml:space="preserve"> informed of the request</w:t>
      </w:r>
      <w:r w:rsidR="00FD48A8">
        <w:rPr>
          <w:rFonts w:ascii="Calibri" w:hAnsi="Calibri" w:cs="Tahoma"/>
          <w:sz w:val="22"/>
          <w:lang w:val="en-US"/>
        </w:rPr>
        <w:t>.</w:t>
      </w:r>
      <w:r>
        <w:rPr>
          <w:rFonts w:ascii="Calibri" w:hAnsi="Calibri" w:cs="Tahoma"/>
          <w:sz w:val="22"/>
          <w:lang w:val="en-US"/>
        </w:rPr>
        <w:t xml:space="preserve"> </w:t>
      </w:r>
      <w:r w:rsidR="00FD48A8">
        <w:rPr>
          <w:rFonts w:ascii="Calibri" w:hAnsi="Calibri" w:cs="Tahoma"/>
          <w:sz w:val="22"/>
          <w:lang w:val="en-US"/>
        </w:rPr>
        <w:t>E</w:t>
      </w:r>
      <w:r>
        <w:rPr>
          <w:rFonts w:ascii="Calibri" w:hAnsi="Calibri" w:cs="Tahoma"/>
          <w:sz w:val="22"/>
          <w:lang w:val="en-US"/>
        </w:rPr>
        <w:t>ach PA receiving a request should also ensure that their local media</w:t>
      </w:r>
      <w:r w:rsidR="00B74B9B">
        <w:rPr>
          <w:rFonts w:ascii="Calibri" w:hAnsi="Calibri" w:cs="Tahoma"/>
          <w:sz w:val="22"/>
          <w:lang w:val="en-US"/>
        </w:rPr>
        <w:t xml:space="preserve"> / communications</w:t>
      </w:r>
      <w:r>
        <w:rPr>
          <w:rFonts w:ascii="Calibri" w:hAnsi="Calibri" w:cs="Tahoma"/>
          <w:sz w:val="22"/>
          <w:lang w:val="en-US"/>
        </w:rPr>
        <w:t xml:space="preserve"> team is aware.</w:t>
      </w:r>
    </w:p>
    <w:p w14:paraId="5E05D5E0" w14:textId="77777777" w:rsidR="005C32C3" w:rsidRPr="004A0F53" w:rsidRDefault="005C32C3" w:rsidP="0079729E">
      <w:pPr>
        <w:spacing w:after="0" w:line="240" w:lineRule="auto"/>
        <w:ind w:right="-154"/>
        <w:jc w:val="both"/>
        <w:rPr>
          <w:rFonts w:ascii="Calibri" w:hAnsi="Calibri" w:cs="Tahoma"/>
          <w:color w:val="000000"/>
          <w:kern w:val="24"/>
          <w:sz w:val="22"/>
          <w:lang w:eastAsia="en-GB"/>
        </w:rPr>
      </w:pPr>
    </w:p>
    <w:p w14:paraId="20EAE11F" w14:textId="72FCB25C" w:rsidR="005C32C3" w:rsidRPr="004A0F53" w:rsidRDefault="005C32C3" w:rsidP="0079729E">
      <w:pPr>
        <w:spacing w:after="0" w:line="240" w:lineRule="auto"/>
        <w:ind w:right="-154"/>
        <w:jc w:val="both"/>
        <w:rPr>
          <w:rFonts w:ascii="Calibri" w:hAnsi="Calibri" w:cs="Tahoma"/>
          <w:color w:val="000000"/>
          <w:kern w:val="24"/>
          <w:sz w:val="22"/>
          <w:lang w:eastAsia="en-GB"/>
        </w:rPr>
      </w:pPr>
      <w:r>
        <w:rPr>
          <w:rFonts w:ascii="Calibri" w:hAnsi="Calibri" w:cs="Tahoma"/>
          <w:color w:val="000000"/>
          <w:kern w:val="24"/>
          <w:sz w:val="22"/>
          <w:lang w:eastAsia="en-GB"/>
        </w:rPr>
        <w:t>In addition to the above, the NPCC</w:t>
      </w:r>
      <w:r w:rsidR="000F49F8">
        <w:rPr>
          <w:rFonts w:ascii="Calibri" w:hAnsi="Calibri" w:cs="Tahoma"/>
          <w:color w:val="000000"/>
          <w:kern w:val="24"/>
          <w:sz w:val="22"/>
          <w:lang w:eastAsia="en-GB"/>
        </w:rPr>
        <w:t xml:space="preserve"> Hydrant</w:t>
      </w:r>
      <w:r w:rsidR="00446011">
        <w:rPr>
          <w:rFonts w:ascii="Calibri" w:hAnsi="Calibri" w:cs="Tahoma"/>
          <w:color w:val="000000"/>
          <w:kern w:val="24"/>
          <w:sz w:val="22"/>
          <w:lang w:eastAsia="en-GB"/>
        </w:rPr>
        <w:t xml:space="preserve"> </w:t>
      </w:r>
      <w:proofErr w:type="gramStart"/>
      <w:r w:rsidR="00446011">
        <w:rPr>
          <w:rFonts w:ascii="Calibri" w:hAnsi="Calibri" w:cs="Tahoma"/>
          <w:color w:val="000000"/>
          <w:kern w:val="24"/>
          <w:sz w:val="22"/>
          <w:lang w:eastAsia="en-GB"/>
        </w:rPr>
        <w:t>Programme</w:t>
      </w:r>
      <w:r w:rsidR="000F49F8">
        <w:rPr>
          <w:rFonts w:ascii="Calibri" w:hAnsi="Calibri" w:cs="Tahoma"/>
          <w:color w:val="000000"/>
          <w:kern w:val="24"/>
          <w:sz w:val="22"/>
          <w:lang w:eastAsia="en-GB"/>
        </w:rPr>
        <w:t xml:space="preserve"> </w:t>
      </w:r>
      <w:r w:rsidRPr="004A0F53">
        <w:rPr>
          <w:rFonts w:ascii="Calibri" w:hAnsi="Calibri" w:cs="Tahoma"/>
          <w:color w:val="000000"/>
          <w:kern w:val="24"/>
          <w:sz w:val="22"/>
          <w:lang w:eastAsia="en-GB"/>
        </w:rPr>
        <w:t xml:space="preserve"> FOI</w:t>
      </w:r>
      <w:proofErr w:type="gramEnd"/>
      <w:r w:rsidRPr="004A0F53">
        <w:rPr>
          <w:rFonts w:ascii="Calibri" w:hAnsi="Calibri" w:cs="Tahoma"/>
          <w:color w:val="000000"/>
          <w:kern w:val="24"/>
          <w:sz w:val="22"/>
          <w:lang w:eastAsia="en-GB"/>
        </w:rPr>
        <w:t xml:space="preserve"> </w:t>
      </w:r>
      <w:r w:rsidR="00446011">
        <w:rPr>
          <w:rFonts w:ascii="Calibri" w:hAnsi="Calibri" w:cs="Tahoma"/>
          <w:color w:val="000000"/>
          <w:kern w:val="24"/>
          <w:sz w:val="22"/>
          <w:lang w:eastAsia="en-GB"/>
        </w:rPr>
        <w:t>P</w:t>
      </w:r>
      <w:r w:rsidRPr="004A0F53">
        <w:rPr>
          <w:rFonts w:ascii="Calibri" w:hAnsi="Calibri" w:cs="Tahoma"/>
          <w:color w:val="000000"/>
          <w:kern w:val="24"/>
          <w:sz w:val="22"/>
          <w:lang w:eastAsia="en-GB"/>
        </w:rPr>
        <w:t xml:space="preserve">ublication </w:t>
      </w:r>
      <w:r w:rsidR="00446011">
        <w:rPr>
          <w:rFonts w:ascii="Calibri" w:hAnsi="Calibri" w:cs="Tahoma"/>
          <w:color w:val="000000"/>
          <w:kern w:val="24"/>
          <w:sz w:val="22"/>
          <w:lang w:eastAsia="en-GB"/>
        </w:rPr>
        <w:t>S</w:t>
      </w:r>
      <w:r w:rsidRPr="004A0F53">
        <w:rPr>
          <w:rFonts w:ascii="Calibri" w:hAnsi="Calibri" w:cs="Tahoma"/>
          <w:color w:val="000000"/>
          <w:kern w:val="24"/>
          <w:sz w:val="22"/>
          <w:lang w:eastAsia="en-GB"/>
        </w:rPr>
        <w:t xml:space="preserve">trategy has been formulated in order to allow </w:t>
      </w:r>
      <w:r>
        <w:rPr>
          <w:rFonts w:ascii="Calibri" w:hAnsi="Calibri" w:cs="Tahoma"/>
          <w:color w:val="000000"/>
          <w:kern w:val="24"/>
          <w:sz w:val="22"/>
          <w:lang w:eastAsia="en-GB"/>
        </w:rPr>
        <w:t xml:space="preserve">any </w:t>
      </w:r>
      <w:r w:rsidRPr="004A0F53">
        <w:rPr>
          <w:rFonts w:ascii="Calibri" w:hAnsi="Calibri" w:cs="Tahoma"/>
          <w:color w:val="000000"/>
          <w:kern w:val="24"/>
          <w:sz w:val="22"/>
          <w:lang w:eastAsia="en-GB"/>
        </w:rPr>
        <w:t>public authorities to take advantage, when appropriate, of the exemption within FOI legislation found at Section 22.</w:t>
      </w:r>
    </w:p>
    <w:p w14:paraId="6DCB2791" w14:textId="77777777" w:rsidR="005C32C3" w:rsidRDefault="005C32C3" w:rsidP="008C62B4">
      <w:pPr>
        <w:overflowPunct w:val="0"/>
        <w:autoSpaceDE w:val="0"/>
        <w:autoSpaceDN w:val="0"/>
        <w:adjustRightInd w:val="0"/>
        <w:spacing w:after="0" w:line="240" w:lineRule="auto"/>
        <w:ind w:hanging="11"/>
        <w:jc w:val="left"/>
        <w:textAlignment w:val="baseline"/>
        <w:rPr>
          <w:rFonts w:ascii="Calibri" w:hAnsi="Calibri" w:cs="Tahoma"/>
          <w:sz w:val="22"/>
          <w:lang w:val="en-US"/>
        </w:rPr>
      </w:pPr>
    </w:p>
    <w:p w14:paraId="25B9E68E" w14:textId="77777777" w:rsidR="005C32C3" w:rsidRPr="004A0F53" w:rsidRDefault="005C32C3" w:rsidP="0079729E">
      <w:pPr>
        <w:spacing w:after="0" w:line="240" w:lineRule="auto"/>
        <w:ind w:right="-154"/>
        <w:jc w:val="both"/>
        <w:rPr>
          <w:rFonts w:ascii="Calibri" w:hAnsi="Calibri" w:cs="Tahoma"/>
          <w:color w:val="000000"/>
          <w:kern w:val="24"/>
          <w:sz w:val="22"/>
          <w:lang w:eastAsia="en-GB"/>
        </w:rPr>
      </w:pPr>
      <w:r>
        <w:rPr>
          <w:rFonts w:ascii="Calibri" w:hAnsi="Calibri" w:cs="Tahoma"/>
          <w:color w:val="000000"/>
          <w:kern w:val="24"/>
          <w:sz w:val="22"/>
          <w:lang w:eastAsia="en-GB"/>
        </w:rPr>
        <w:t>Section 22 may not be used</w:t>
      </w:r>
      <w:r w:rsidR="00002BB1">
        <w:rPr>
          <w:rFonts w:ascii="Calibri" w:hAnsi="Calibri" w:cs="Tahoma"/>
          <w:color w:val="000000"/>
          <w:kern w:val="24"/>
          <w:sz w:val="22"/>
          <w:lang w:eastAsia="en-GB"/>
        </w:rPr>
        <w:t>,</w:t>
      </w:r>
      <w:r>
        <w:rPr>
          <w:rFonts w:ascii="Calibri" w:hAnsi="Calibri" w:cs="Tahoma"/>
          <w:color w:val="000000"/>
          <w:kern w:val="24"/>
          <w:sz w:val="22"/>
          <w:lang w:eastAsia="en-GB"/>
        </w:rPr>
        <w:t xml:space="preserve"> and authorities may not take the decision to publish the information</w:t>
      </w:r>
      <w:r w:rsidR="00002BB1">
        <w:rPr>
          <w:rFonts w:ascii="Calibri" w:hAnsi="Calibri" w:cs="Tahoma"/>
          <w:color w:val="000000"/>
          <w:kern w:val="24"/>
          <w:sz w:val="22"/>
          <w:lang w:eastAsia="en-GB"/>
        </w:rPr>
        <w:t>,</w:t>
      </w:r>
      <w:r>
        <w:rPr>
          <w:rFonts w:ascii="Calibri" w:hAnsi="Calibri" w:cs="Tahoma"/>
          <w:color w:val="000000"/>
          <w:kern w:val="24"/>
          <w:sz w:val="22"/>
          <w:lang w:eastAsia="en-GB"/>
        </w:rPr>
        <w:t xml:space="preserve"> </w:t>
      </w:r>
      <w:r w:rsidRPr="00A312EE">
        <w:rPr>
          <w:rFonts w:ascii="Calibri" w:hAnsi="Calibri" w:cs="Tahoma"/>
          <w:b/>
          <w:color w:val="000000"/>
          <w:kern w:val="24"/>
          <w:sz w:val="22"/>
          <w:lang w:eastAsia="en-GB"/>
        </w:rPr>
        <w:t>after</w:t>
      </w:r>
      <w:r>
        <w:rPr>
          <w:rFonts w:ascii="Calibri" w:hAnsi="Calibri" w:cs="Tahoma"/>
          <w:color w:val="000000"/>
          <w:kern w:val="24"/>
          <w:sz w:val="22"/>
          <w:lang w:eastAsia="en-GB"/>
        </w:rPr>
        <w:t xml:space="preserve"> the request for information is received.  </w:t>
      </w:r>
      <w:r w:rsidRPr="004A0F53">
        <w:rPr>
          <w:rFonts w:ascii="Calibri" w:hAnsi="Calibri" w:cs="Tahoma"/>
          <w:color w:val="000000"/>
          <w:kern w:val="24"/>
          <w:sz w:val="22"/>
          <w:lang w:eastAsia="en-GB"/>
        </w:rPr>
        <w:t xml:space="preserve">The key to it is that the decision to publish must have been made prior to any request for the information being </w:t>
      </w:r>
      <w:r>
        <w:rPr>
          <w:rFonts w:ascii="Calibri" w:hAnsi="Calibri" w:cs="Tahoma"/>
          <w:color w:val="000000"/>
          <w:kern w:val="24"/>
          <w:sz w:val="22"/>
          <w:lang w:eastAsia="en-GB"/>
        </w:rPr>
        <w:t>received</w:t>
      </w:r>
      <w:r w:rsidRPr="004A0F53">
        <w:rPr>
          <w:rFonts w:ascii="Calibri" w:hAnsi="Calibri" w:cs="Tahoma"/>
          <w:color w:val="000000"/>
          <w:kern w:val="24"/>
          <w:sz w:val="22"/>
          <w:lang w:eastAsia="en-GB"/>
        </w:rPr>
        <w:t>.</w:t>
      </w:r>
    </w:p>
    <w:p w14:paraId="67CE993E" w14:textId="77777777" w:rsidR="005C32C3" w:rsidRPr="004A0F53" w:rsidRDefault="005C32C3" w:rsidP="0079729E">
      <w:pPr>
        <w:spacing w:after="0" w:line="240" w:lineRule="auto"/>
        <w:ind w:right="-154"/>
        <w:jc w:val="both"/>
        <w:rPr>
          <w:rFonts w:ascii="Calibri" w:hAnsi="Calibri" w:cs="Tahoma"/>
          <w:color w:val="000000"/>
          <w:kern w:val="24"/>
          <w:sz w:val="22"/>
          <w:lang w:eastAsia="en-GB"/>
        </w:rPr>
      </w:pPr>
    </w:p>
    <w:p w14:paraId="7BD9E08C" w14:textId="0FADF04F" w:rsidR="005C32C3" w:rsidRPr="004A0F53" w:rsidRDefault="005C32C3" w:rsidP="0079729E">
      <w:pPr>
        <w:spacing w:after="0" w:line="240" w:lineRule="auto"/>
        <w:ind w:right="-154"/>
        <w:jc w:val="both"/>
        <w:rPr>
          <w:rFonts w:ascii="Calibri" w:hAnsi="Calibri" w:cs="Tahoma"/>
          <w:b/>
          <w:color w:val="000000"/>
          <w:kern w:val="24"/>
          <w:sz w:val="22"/>
          <w:lang w:eastAsia="en-GB"/>
        </w:rPr>
      </w:pPr>
      <w:r>
        <w:rPr>
          <w:rFonts w:ascii="Calibri" w:hAnsi="Calibri" w:cs="Tahoma"/>
          <w:color w:val="000000"/>
          <w:kern w:val="24"/>
          <w:sz w:val="22"/>
          <w:lang w:eastAsia="en-GB"/>
        </w:rPr>
        <w:t xml:space="preserve">The NPCC decision to produce this intention to publish data means that the Section 22 exemption is engaged for any PA wishing to apply that exemption. </w:t>
      </w:r>
      <w:r w:rsidRPr="004A0F53">
        <w:rPr>
          <w:rFonts w:ascii="Calibri" w:hAnsi="Calibri" w:cs="Tahoma"/>
          <w:color w:val="000000"/>
          <w:kern w:val="24"/>
          <w:sz w:val="22"/>
          <w:lang w:eastAsia="en-GB"/>
        </w:rPr>
        <w:t xml:space="preserve">That decision does not have to have been made by the PA receiving the </w:t>
      </w:r>
      <w:proofErr w:type="gramStart"/>
      <w:r w:rsidRPr="004A0F53">
        <w:rPr>
          <w:rFonts w:ascii="Calibri" w:hAnsi="Calibri" w:cs="Tahoma"/>
          <w:color w:val="000000"/>
          <w:kern w:val="24"/>
          <w:sz w:val="22"/>
          <w:lang w:eastAsia="en-GB"/>
        </w:rPr>
        <w:t>request, but</w:t>
      </w:r>
      <w:proofErr w:type="gramEnd"/>
      <w:r w:rsidRPr="004A0F53">
        <w:rPr>
          <w:rFonts w:ascii="Calibri" w:hAnsi="Calibri" w:cs="Tahoma"/>
          <w:color w:val="000000"/>
          <w:kern w:val="24"/>
          <w:sz w:val="22"/>
          <w:lang w:eastAsia="en-GB"/>
        </w:rPr>
        <w:t xml:space="preserve"> can be made by any party who also holds the same information. </w:t>
      </w:r>
      <w:r w:rsidRPr="004A0F53">
        <w:rPr>
          <w:rFonts w:ascii="Calibri" w:hAnsi="Calibri" w:cs="Tahoma"/>
          <w:b/>
          <w:color w:val="000000"/>
          <w:kern w:val="24"/>
          <w:sz w:val="22"/>
          <w:lang w:eastAsia="en-GB"/>
        </w:rPr>
        <w:t xml:space="preserve"> This publication strategy is therefore transferable between all relevant parties</w:t>
      </w:r>
      <w:r>
        <w:rPr>
          <w:rFonts w:ascii="Calibri" w:hAnsi="Calibri" w:cs="Tahoma"/>
          <w:b/>
          <w:color w:val="000000"/>
          <w:kern w:val="24"/>
          <w:sz w:val="22"/>
          <w:lang w:eastAsia="en-GB"/>
        </w:rPr>
        <w:t xml:space="preserve"> covered by </w:t>
      </w:r>
      <w:r w:rsidR="00866410">
        <w:rPr>
          <w:rFonts w:ascii="Calibri" w:hAnsi="Calibri" w:cs="Tahoma"/>
          <w:b/>
          <w:color w:val="000000"/>
          <w:kern w:val="24"/>
          <w:sz w:val="22"/>
          <w:lang w:eastAsia="en-GB"/>
        </w:rPr>
        <w:t>the</w:t>
      </w:r>
      <w:r>
        <w:rPr>
          <w:rFonts w:ascii="Calibri" w:hAnsi="Calibri" w:cs="Tahoma"/>
          <w:b/>
          <w:color w:val="000000"/>
          <w:kern w:val="24"/>
          <w:sz w:val="22"/>
          <w:lang w:eastAsia="en-GB"/>
        </w:rPr>
        <w:t xml:space="preserve"> Hydrant</w:t>
      </w:r>
      <w:r w:rsidR="00866410">
        <w:rPr>
          <w:rFonts w:ascii="Calibri" w:hAnsi="Calibri" w:cs="Tahoma"/>
          <w:b/>
          <w:color w:val="000000"/>
          <w:kern w:val="24"/>
          <w:sz w:val="22"/>
          <w:lang w:eastAsia="en-GB"/>
        </w:rPr>
        <w:t xml:space="preserve"> Programme</w:t>
      </w:r>
      <w:r w:rsidRPr="004A0F53">
        <w:rPr>
          <w:rFonts w:ascii="Calibri" w:hAnsi="Calibri" w:cs="Tahoma"/>
          <w:b/>
          <w:color w:val="000000"/>
          <w:kern w:val="24"/>
          <w:sz w:val="22"/>
          <w:lang w:eastAsia="en-GB"/>
        </w:rPr>
        <w:t>.</w:t>
      </w:r>
    </w:p>
    <w:p w14:paraId="708852D1" w14:textId="77777777" w:rsidR="005C32C3" w:rsidRPr="004A0F53" w:rsidRDefault="005C32C3" w:rsidP="0079729E">
      <w:pPr>
        <w:spacing w:after="0" w:line="240" w:lineRule="auto"/>
        <w:ind w:right="-154"/>
        <w:jc w:val="both"/>
        <w:rPr>
          <w:rFonts w:ascii="Calibri" w:hAnsi="Calibri" w:cs="Tahoma"/>
          <w:color w:val="000000"/>
          <w:kern w:val="24"/>
          <w:sz w:val="22"/>
          <w:lang w:eastAsia="en-GB"/>
        </w:rPr>
      </w:pPr>
    </w:p>
    <w:p w14:paraId="38DE14C9" w14:textId="3CA45EA4" w:rsidR="005C32C3" w:rsidRDefault="005C32C3" w:rsidP="0079729E">
      <w:pPr>
        <w:spacing w:after="0" w:line="240" w:lineRule="auto"/>
        <w:ind w:right="-154"/>
        <w:jc w:val="both"/>
        <w:rPr>
          <w:rFonts w:ascii="Calibri" w:hAnsi="Calibri" w:cs="Tahoma"/>
          <w:color w:val="000000"/>
          <w:kern w:val="24"/>
          <w:sz w:val="22"/>
          <w:lang w:eastAsia="en-GB"/>
        </w:rPr>
      </w:pPr>
      <w:r w:rsidRPr="004A0F53">
        <w:rPr>
          <w:rFonts w:ascii="Calibri" w:hAnsi="Calibri" w:cs="Tahoma"/>
          <w:color w:val="000000"/>
          <w:kern w:val="24"/>
          <w:sz w:val="22"/>
          <w:lang w:eastAsia="en-GB"/>
        </w:rPr>
        <w:t>The identified benefits of engaging this exemption are that dealing with requests for</w:t>
      </w:r>
      <w:r>
        <w:rPr>
          <w:rFonts w:ascii="Calibri" w:hAnsi="Calibri" w:cs="Tahoma"/>
          <w:color w:val="000000"/>
          <w:kern w:val="24"/>
          <w:sz w:val="22"/>
          <w:lang w:eastAsia="en-GB"/>
        </w:rPr>
        <w:t xml:space="preserve"> certain data </w:t>
      </w:r>
      <w:r w:rsidRPr="004A0F53">
        <w:rPr>
          <w:rFonts w:ascii="Calibri" w:hAnsi="Calibri" w:cs="Tahoma"/>
          <w:color w:val="000000"/>
          <w:kern w:val="24"/>
          <w:sz w:val="22"/>
          <w:lang w:eastAsia="en-GB"/>
        </w:rPr>
        <w:t xml:space="preserve">can be complex and resource intensive. </w:t>
      </w:r>
      <w:r w:rsidR="00002BB1">
        <w:rPr>
          <w:rFonts w:ascii="Calibri" w:hAnsi="Calibri" w:cs="Tahoma"/>
          <w:color w:val="000000"/>
          <w:kern w:val="24"/>
          <w:sz w:val="22"/>
          <w:lang w:eastAsia="en-GB"/>
        </w:rPr>
        <w:t>The exemption allows for the removal of predicted demand and enhanced transparency where appropriate.</w:t>
      </w:r>
      <w:r w:rsidRPr="004A0F53">
        <w:rPr>
          <w:rFonts w:ascii="Calibri" w:hAnsi="Calibri" w:cs="Tahoma"/>
          <w:color w:val="000000"/>
          <w:kern w:val="24"/>
          <w:sz w:val="22"/>
          <w:lang w:eastAsia="en-GB"/>
        </w:rPr>
        <w:t xml:space="preserve"> Also, random piecemeal disclosure</w:t>
      </w:r>
      <w:r>
        <w:rPr>
          <w:rFonts w:ascii="Calibri" w:hAnsi="Calibri" w:cs="Tahoma"/>
          <w:color w:val="000000"/>
          <w:kern w:val="24"/>
          <w:sz w:val="22"/>
          <w:lang w:eastAsia="en-GB"/>
        </w:rPr>
        <w:t>s may in fact damage the investigation</w:t>
      </w:r>
      <w:r w:rsidRPr="004A0F53">
        <w:rPr>
          <w:rFonts w:ascii="Calibri" w:hAnsi="Calibri" w:cs="Tahoma"/>
          <w:color w:val="000000"/>
          <w:kern w:val="24"/>
          <w:sz w:val="22"/>
          <w:lang w:eastAsia="en-GB"/>
        </w:rPr>
        <w:t xml:space="preserve"> process and affect the</w:t>
      </w:r>
      <w:r>
        <w:rPr>
          <w:rFonts w:ascii="Calibri" w:hAnsi="Calibri" w:cs="Tahoma"/>
          <w:color w:val="000000"/>
          <w:kern w:val="24"/>
          <w:sz w:val="22"/>
          <w:lang w:eastAsia="en-GB"/>
        </w:rPr>
        <w:t xml:space="preserve"> strategic aims of the </w:t>
      </w:r>
      <w:r w:rsidR="00866410">
        <w:rPr>
          <w:rFonts w:ascii="Calibri" w:hAnsi="Calibri" w:cs="Tahoma"/>
          <w:color w:val="000000"/>
          <w:kern w:val="24"/>
          <w:sz w:val="22"/>
          <w:lang w:eastAsia="en-GB"/>
        </w:rPr>
        <w:t>Hydrant Programme</w:t>
      </w:r>
      <w:r w:rsidRPr="004A0F53">
        <w:rPr>
          <w:rFonts w:ascii="Calibri" w:hAnsi="Calibri" w:cs="Tahoma"/>
          <w:color w:val="000000"/>
          <w:kern w:val="24"/>
          <w:sz w:val="22"/>
          <w:lang w:eastAsia="en-GB"/>
        </w:rPr>
        <w:t>. This can manifest itself in many ways but can include disclosures which enable offenders to evade the</w:t>
      </w:r>
      <w:r w:rsidR="00002BB1">
        <w:rPr>
          <w:rFonts w:ascii="Calibri" w:hAnsi="Calibri" w:cs="Tahoma"/>
          <w:color w:val="000000"/>
          <w:kern w:val="24"/>
          <w:sz w:val="22"/>
          <w:lang w:eastAsia="en-GB"/>
        </w:rPr>
        <w:t xml:space="preserve"> investigative</w:t>
      </w:r>
      <w:r w:rsidRPr="004A0F53">
        <w:rPr>
          <w:rFonts w:ascii="Calibri" w:hAnsi="Calibri" w:cs="Tahoma"/>
          <w:color w:val="000000"/>
          <w:kern w:val="24"/>
          <w:sz w:val="22"/>
          <w:lang w:eastAsia="en-GB"/>
        </w:rPr>
        <w:t xml:space="preserve"> process</w:t>
      </w:r>
      <w:r w:rsidR="00002BB1">
        <w:rPr>
          <w:rFonts w:ascii="Calibri" w:hAnsi="Calibri" w:cs="Tahoma"/>
          <w:color w:val="000000"/>
          <w:kern w:val="24"/>
          <w:sz w:val="22"/>
          <w:lang w:eastAsia="en-GB"/>
        </w:rPr>
        <w:t>,</w:t>
      </w:r>
      <w:r w:rsidRPr="004A0F53">
        <w:rPr>
          <w:rFonts w:ascii="Calibri" w:hAnsi="Calibri" w:cs="Tahoma"/>
          <w:color w:val="000000"/>
          <w:kern w:val="24"/>
          <w:sz w:val="22"/>
          <w:lang w:eastAsia="en-GB"/>
        </w:rPr>
        <w:t xml:space="preserve"> </w:t>
      </w:r>
      <w:r w:rsidR="00002BB1">
        <w:rPr>
          <w:rFonts w:ascii="Calibri" w:hAnsi="Calibri" w:cs="Tahoma"/>
          <w:color w:val="000000"/>
          <w:kern w:val="24"/>
          <w:sz w:val="22"/>
          <w:lang w:eastAsia="en-GB"/>
        </w:rPr>
        <w:t>create</w:t>
      </w:r>
      <w:r w:rsidRPr="004A0F53">
        <w:rPr>
          <w:rFonts w:ascii="Calibri" w:hAnsi="Calibri" w:cs="Tahoma"/>
          <w:color w:val="000000"/>
          <w:kern w:val="24"/>
          <w:sz w:val="22"/>
          <w:lang w:eastAsia="en-GB"/>
        </w:rPr>
        <w:t xml:space="preserve"> concerns </w:t>
      </w:r>
      <w:r w:rsidR="00002BB1">
        <w:rPr>
          <w:rFonts w:ascii="Calibri" w:hAnsi="Calibri" w:cs="Tahoma"/>
          <w:color w:val="000000"/>
          <w:kern w:val="24"/>
          <w:sz w:val="22"/>
          <w:lang w:eastAsia="en-GB"/>
        </w:rPr>
        <w:t>among</w:t>
      </w:r>
      <w:r w:rsidRPr="004A0F53">
        <w:rPr>
          <w:rFonts w:ascii="Calibri" w:hAnsi="Calibri" w:cs="Tahoma"/>
          <w:color w:val="000000"/>
          <w:kern w:val="24"/>
          <w:sz w:val="22"/>
          <w:lang w:eastAsia="en-GB"/>
        </w:rPr>
        <w:t xml:space="preserve"> victims, witnesses</w:t>
      </w:r>
      <w:r w:rsidR="00002BB1">
        <w:rPr>
          <w:rFonts w:ascii="Calibri" w:hAnsi="Calibri" w:cs="Tahoma"/>
          <w:color w:val="000000"/>
          <w:kern w:val="24"/>
          <w:sz w:val="22"/>
          <w:lang w:eastAsia="en-GB"/>
        </w:rPr>
        <w:t>,</w:t>
      </w:r>
      <w:r w:rsidRPr="004A0F53">
        <w:rPr>
          <w:rFonts w:ascii="Calibri" w:hAnsi="Calibri" w:cs="Tahoma"/>
          <w:color w:val="000000"/>
          <w:kern w:val="24"/>
          <w:sz w:val="22"/>
          <w:lang w:eastAsia="en-GB"/>
        </w:rPr>
        <w:t xml:space="preserve"> and</w:t>
      </w:r>
      <w:r w:rsidR="00002BB1">
        <w:rPr>
          <w:rFonts w:ascii="Calibri" w:hAnsi="Calibri" w:cs="Tahoma"/>
          <w:color w:val="000000"/>
          <w:kern w:val="24"/>
          <w:sz w:val="22"/>
          <w:lang w:eastAsia="en-GB"/>
        </w:rPr>
        <w:t xml:space="preserve"> impact on the vulnerability of those falling within the remit of the operation</w:t>
      </w:r>
      <w:r w:rsidRPr="004A0F53">
        <w:rPr>
          <w:rFonts w:ascii="Calibri" w:hAnsi="Calibri" w:cs="Tahoma"/>
          <w:color w:val="000000"/>
          <w:kern w:val="24"/>
          <w:sz w:val="22"/>
          <w:lang w:eastAsia="en-GB"/>
        </w:rPr>
        <w:t>.  There will also be an appetite from the</w:t>
      </w:r>
      <w:r w:rsidR="00002BB1">
        <w:rPr>
          <w:rFonts w:ascii="Calibri" w:hAnsi="Calibri" w:cs="Tahoma"/>
          <w:color w:val="000000"/>
          <w:kern w:val="24"/>
          <w:sz w:val="22"/>
          <w:lang w:eastAsia="en-GB"/>
        </w:rPr>
        <w:t xml:space="preserve"> news</w:t>
      </w:r>
      <w:r w:rsidRPr="004A0F53">
        <w:rPr>
          <w:rFonts w:ascii="Calibri" w:hAnsi="Calibri" w:cs="Tahoma"/>
          <w:color w:val="000000"/>
          <w:kern w:val="24"/>
          <w:sz w:val="22"/>
          <w:lang w:eastAsia="en-GB"/>
        </w:rPr>
        <w:t xml:space="preserve"> media</w:t>
      </w:r>
      <w:r w:rsidR="00002BB1">
        <w:rPr>
          <w:rFonts w:ascii="Calibri" w:hAnsi="Calibri" w:cs="Tahoma"/>
          <w:color w:val="000000"/>
          <w:kern w:val="24"/>
          <w:sz w:val="22"/>
          <w:lang w:eastAsia="en-GB"/>
        </w:rPr>
        <w:t xml:space="preserve"> and others</w:t>
      </w:r>
      <w:r w:rsidRPr="004A0F53">
        <w:rPr>
          <w:rFonts w:ascii="Calibri" w:hAnsi="Calibri" w:cs="Tahoma"/>
          <w:color w:val="000000"/>
          <w:kern w:val="24"/>
          <w:sz w:val="22"/>
          <w:lang w:eastAsia="en-GB"/>
        </w:rPr>
        <w:t xml:space="preserve"> to gain knowledge and data via FOI, </w:t>
      </w:r>
      <w:r w:rsidR="00002BB1">
        <w:rPr>
          <w:rFonts w:ascii="Calibri" w:hAnsi="Calibri" w:cs="Tahoma"/>
          <w:color w:val="000000"/>
          <w:kern w:val="24"/>
          <w:sz w:val="22"/>
          <w:lang w:eastAsia="en-GB"/>
        </w:rPr>
        <w:t>and publication will provide for transparency and accessibility to information which is not sensitive</w:t>
      </w:r>
      <w:r w:rsidR="00E80754">
        <w:rPr>
          <w:rFonts w:ascii="Calibri" w:hAnsi="Calibri" w:cs="Tahoma"/>
          <w:color w:val="000000"/>
          <w:kern w:val="24"/>
          <w:sz w:val="22"/>
          <w:lang w:eastAsia="en-GB"/>
        </w:rPr>
        <w:t xml:space="preserve"> for operational or other reasons</w:t>
      </w:r>
      <w:r>
        <w:rPr>
          <w:rFonts w:ascii="Calibri" w:hAnsi="Calibri" w:cs="Tahoma"/>
          <w:color w:val="000000"/>
          <w:kern w:val="24"/>
          <w:sz w:val="22"/>
          <w:lang w:eastAsia="en-GB"/>
        </w:rPr>
        <w:t>.</w:t>
      </w:r>
    </w:p>
    <w:p w14:paraId="3AD03C69" w14:textId="77777777" w:rsidR="005C32C3" w:rsidRDefault="005C32C3" w:rsidP="0079729E">
      <w:pPr>
        <w:spacing w:after="0" w:line="240" w:lineRule="auto"/>
        <w:ind w:right="-154"/>
        <w:jc w:val="both"/>
        <w:rPr>
          <w:rFonts w:ascii="Calibri" w:hAnsi="Calibri" w:cs="Tahoma"/>
          <w:color w:val="000000"/>
          <w:kern w:val="24"/>
          <w:sz w:val="22"/>
          <w:lang w:eastAsia="en-GB"/>
        </w:rPr>
      </w:pPr>
    </w:p>
    <w:p w14:paraId="61AA565E" w14:textId="29DC0855" w:rsidR="005C32C3" w:rsidRPr="004A0F53" w:rsidRDefault="005C32C3" w:rsidP="0079729E">
      <w:pPr>
        <w:spacing w:after="0" w:line="240" w:lineRule="auto"/>
        <w:ind w:right="-154"/>
        <w:jc w:val="both"/>
        <w:rPr>
          <w:rFonts w:ascii="Calibri" w:hAnsi="Calibri" w:cs="Tahoma"/>
          <w:color w:val="000000"/>
          <w:kern w:val="24"/>
          <w:sz w:val="22"/>
          <w:lang w:eastAsia="en-GB"/>
        </w:rPr>
      </w:pPr>
      <w:r>
        <w:rPr>
          <w:rFonts w:ascii="Calibri" w:hAnsi="Calibri" w:cs="Tahoma"/>
          <w:color w:val="000000"/>
          <w:kern w:val="24"/>
          <w:sz w:val="22"/>
          <w:lang w:eastAsia="en-GB"/>
        </w:rPr>
        <w:t xml:space="preserve">The application of this exemption also allows a sterile period, prior to publication, where all the stakeholders </w:t>
      </w:r>
      <w:proofErr w:type="gramStart"/>
      <w:r>
        <w:rPr>
          <w:rFonts w:ascii="Calibri" w:hAnsi="Calibri" w:cs="Tahoma"/>
          <w:color w:val="000000"/>
          <w:kern w:val="24"/>
          <w:sz w:val="22"/>
          <w:lang w:eastAsia="en-GB"/>
        </w:rPr>
        <w:t>are able to</w:t>
      </w:r>
      <w:proofErr w:type="gramEnd"/>
      <w:r w:rsidR="00A8640F">
        <w:rPr>
          <w:rFonts w:ascii="Calibri" w:hAnsi="Calibri" w:cs="Tahoma"/>
          <w:color w:val="000000"/>
          <w:kern w:val="24"/>
          <w:sz w:val="22"/>
          <w:lang w:eastAsia="en-GB"/>
        </w:rPr>
        <w:t xml:space="preserve"> </w:t>
      </w:r>
      <w:r>
        <w:rPr>
          <w:rFonts w:ascii="Calibri" w:hAnsi="Calibri" w:cs="Tahoma"/>
          <w:color w:val="000000"/>
          <w:kern w:val="24"/>
          <w:sz w:val="22"/>
          <w:lang w:eastAsia="en-GB"/>
        </w:rPr>
        <w:t xml:space="preserve">engage, ensuring the </w:t>
      </w:r>
      <w:r w:rsidR="00E80754">
        <w:rPr>
          <w:rFonts w:ascii="Calibri" w:hAnsi="Calibri" w:cs="Tahoma"/>
          <w:color w:val="000000"/>
          <w:kern w:val="24"/>
          <w:sz w:val="22"/>
          <w:lang w:eastAsia="en-GB"/>
        </w:rPr>
        <w:t xml:space="preserve">final </w:t>
      </w:r>
      <w:r>
        <w:rPr>
          <w:rFonts w:ascii="Calibri" w:hAnsi="Calibri" w:cs="Tahoma"/>
          <w:color w:val="000000"/>
          <w:kern w:val="24"/>
          <w:sz w:val="22"/>
          <w:lang w:eastAsia="en-GB"/>
        </w:rPr>
        <w:t>publication meets the full needs of the public and the authorities involved.  This co-ordinated approach to publication mitigates any harm that may be caused by random incomplete information entering the public domain.</w:t>
      </w:r>
    </w:p>
    <w:p w14:paraId="5EC04643" w14:textId="77777777" w:rsidR="005C32C3" w:rsidRPr="004A0F53" w:rsidRDefault="005C32C3" w:rsidP="0079729E">
      <w:pPr>
        <w:spacing w:after="0" w:line="240" w:lineRule="auto"/>
        <w:ind w:right="-154"/>
        <w:jc w:val="both"/>
        <w:rPr>
          <w:rFonts w:ascii="Calibri" w:hAnsi="Calibri" w:cs="Tahoma"/>
          <w:color w:val="000000"/>
          <w:kern w:val="24"/>
          <w:sz w:val="22"/>
          <w:lang w:eastAsia="en-GB"/>
        </w:rPr>
      </w:pPr>
      <w:r w:rsidRPr="004A0F53">
        <w:rPr>
          <w:rFonts w:ascii="Calibri" w:hAnsi="Calibri" w:cs="Tahoma"/>
          <w:color w:val="000000"/>
          <w:kern w:val="24"/>
          <w:sz w:val="22"/>
          <w:lang w:eastAsia="en-GB"/>
        </w:rPr>
        <w:br/>
        <w:t xml:space="preserve">What is critical to the success of this strategy is that any rationale for not complying with the </w:t>
      </w:r>
      <w:r w:rsidR="00E80754">
        <w:rPr>
          <w:rFonts w:ascii="Calibri" w:hAnsi="Calibri" w:cs="Tahoma"/>
          <w:color w:val="000000"/>
          <w:kern w:val="24"/>
          <w:sz w:val="22"/>
          <w:lang w:eastAsia="en-GB"/>
        </w:rPr>
        <w:t>S</w:t>
      </w:r>
      <w:r w:rsidRPr="004A0F53">
        <w:rPr>
          <w:rFonts w:ascii="Calibri" w:hAnsi="Calibri" w:cs="Tahoma"/>
          <w:color w:val="000000"/>
          <w:kern w:val="24"/>
          <w:sz w:val="22"/>
          <w:lang w:eastAsia="en-GB"/>
        </w:rPr>
        <w:t>ection 22 approach is recorded s</w:t>
      </w:r>
      <w:r>
        <w:rPr>
          <w:rFonts w:ascii="Calibri" w:hAnsi="Calibri" w:cs="Tahoma"/>
          <w:color w:val="000000"/>
          <w:kern w:val="24"/>
          <w:sz w:val="22"/>
          <w:lang w:eastAsia="en-GB"/>
        </w:rPr>
        <w:t>o that a precedent is not se</w:t>
      </w:r>
      <w:r w:rsidRPr="004A0F53">
        <w:rPr>
          <w:rFonts w:ascii="Calibri" w:hAnsi="Calibri" w:cs="Tahoma"/>
          <w:color w:val="000000"/>
          <w:kern w:val="24"/>
          <w:sz w:val="22"/>
          <w:lang w:eastAsia="en-GB"/>
        </w:rPr>
        <w:t>t which undermines other</w:t>
      </w:r>
      <w:r>
        <w:rPr>
          <w:rFonts w:ascii="Calibri" w:hAnsi="Calibri" w:cs="Tahoma"/>
          <w:color w:val="000000"/>
          <w:kern w:val="24"/>
          <w:sz w:val="22"/>
          <w:lang w:eastAsia="en-GB"/>
        </w:rPr>
        <w:t xml:space="preserve"> </w:t>
      </w:r>
      <w:proofErr w:type="gramStart"/>
      <w:r>
        <w:rPr>
          <w:rFonts w:ascii="Calibri" w:hAnsi="Calibri" w:cs="Tahoma"/>
          <w:color w:val="000000"/>
          <w:kern w:val="24"/>
          <w:sz w:val="22"/>
          <w:lang w:eastAsia="en-GB"/>
        </w:rPr>
        <w:t>PA</w:t>
      </w:r>
      <w:r w:rsidRPr="004A0F53">
        <w:rPr>
          <w:rFonts w:ascii="Calibri" w:hAnsi="Calibri" w:cs="Tahoma"/>
          <w:color w:val="000000"/>
          <w:kern w:val="24"/>
          <w:sz w:val="22"/>
          <w:lang w:eastAsia="en-GB"/>
        </w:rPr>
        <w:t>s</w:t>
      </w:r>
      <w:proofErr w:type="gramEnd"/>
      <w:r w:rsidRPr="004A0F53">
        <w:rPr>
          <w:rFonts w:ascii="Calibri" w:hAnsi="Calibri" w:cs="Tahoma"/>
          <w:color w:val="000000"/>
          <w:kern w:val="24"/>
          <w:sz w:val="22"/>
          <w:lang w:eastAsia="en-GB"/>
        </w:rPr>
        <w:t xml:space="preserve"> ability to engage the exemption.  This is </w:t>
      </w:r>
      <w:r w:rsidR="00E80754">
        <w:rPr>
          <w:rFonts w:ascii="Calibri" w:hAnsi="Calibri" w:cs="Tahoma"/>
          <w:color w:val="000000"/>
          <w:kern w:val="24"/>
          <w:sz w:val="22"/>
          <w:lang w:eastAsia="en-GB"/>
        </w:rPr>
        <w:t xml:space="preserve">most likely to occur </w:t>
      </w:r>
      <w:proofErr w:type="gramStart"/>
      <w:r w:rsidR="00E80754">
        <w:rPr>
          <w:rFonts w:ascii="Calibri" w:hAnsi="Calibri" w:cs="Tahoma"/>
          <w:color w:val="000000"/>
          <w:kern w:val="24"/>
          <w:sz w:val="22"/>
          <w:lang w:eastAsia="en-GB"/>
        </w:rPr>
        <w:t>as a result of</w:t>
      </w:r>
      <w:proofErr w:type="gramEnd"/>
      <w:r w:rsidR="00E80754">
        <w:rPr>
          <w:rFonts w:ascii="Calibri" w:hAnsi="Calibri" w:cs="Tahoma"/>
          <w:color w:val="000000"/>
          <w:kern w:val="24"/>
          <w:sz w:val="22"/>
          <w:lang w:eastAsia="en-GB"/>
        </w:rPr>
        <w:t xml:space="preserve"> an</w:t>
      </w:r>
      <w:r w:rsidRPr="004A0F53">
        <w:rPr>
          <w:rFonts w:ascii="Calibri" w:hAnsi="Calibri" w:cs="Tahoma"/>
          <w:color w:val="000000"/>
          <w:kern w:val="24"/>
          <w:sz w:val="22"/>
          <w:lang w:eastAsia="en-GB"/>
        </w:rPr>
        <w:t xml:space="preserve"> overriding, compelling, public interest factor, specific to an individual request, as the exemption itself is subject to a public interest test</w:t>
      </w:r>
      <w:r>
        <w:rPr>
          <w:rFonts w:ascii="Calibri" w:hAnsi="Calibri" w:cs="Tahoma"/>
          <w:color w:val="000000"/>
          <w:kern w:val="24"/>
          <w:sz w:val="22"/>
          <w:lang w:eastAsia="en-GB"/>
        </w:rPr>
        <w:t xml:space="preserve"> and such matters must be dealt with on a case-by-case basis</w:t>
      </w:r>
      <w:r w:rsidRPr="004A0F53">
        <w:rPr>
          <w:rFonts w:ascii="Calibri" w:hAnsi="Calibri" w:cs="Tahoma"/>
          <w:color w:val="000000"/>
          <w:kern w:val="24"/>
          <w:sz w:val="22"/>
          <w:lang w:eastAsia="en-GB"/>
        </w:rPr>
        <w:t>.</w:t>
      </w:r>
    </w:p>
    <w:p w14:paraId="11546AAF" w14:textId="77777777" w:rsidR="005C32C3" w:rsidRPr="004A0F53" w:rsidRDefault="005C32C3" w:rsidP="0079729E">
      <w:pPr>
        <w:spacing w:after="0" w:line="240" w:lineRule="auto"/>
        <w:ind w:right="-154"/>
        <w:jc w:val="both"/>
        <w:rPr>
          <w:rFonts w:ascii="Calibri" w:hAnsi="Calibri" w:cs="Tahoma"/>
          <w:color w:val="000000"/>
          <w:kern w:val="24"/>
          <w:sz w:val="22"/>
          <w:lang w:eastAsia="en-GB"/>
        </w:rPr>
      </w:pPr>
    </w:p>
    <w:p w14:paraId="6E8D7617" w14:textId="165BA87F" w:rsidR="005C32C3" w:rsidRDefault="005C32C3" w:rsidP="0079729E">
      <w:pPr>
        <w:spacing w:after="0" w:line="240" w:lineRule="auto"/>
        <w:ind w:right="-154"/>
        <w:jc w:val="both"/>
        <w:rPr>
          <w:rFonts w:ascii="Calibri" w:hAnsi="Calibri" w:cs="Tahoma"/>
          <w:color w:val="000000"/>
          <w:kern w:val="24"/>
          <w:sz w:val="22"/>
          <w:lang w:eastAsia="en-GB"/>
        </w:rPr>
      </w:pPr>
      <w:r>
        <w:rPr>
          <w:rFonts w:ascii="Calibri" w:hAnsi="Calibri" w:cs="Tahoma"/>
          <w:color w:val="000000"/>
          <w:kern w:val="24"/>
          <w:sz w:val="22"/>
          <w:lang w:eastAsia="en-GB"/>
        </w:rPr>
        <w:t xml:space="preserve">The </w:t>
      </w:r>
      <w:r w:rsidRPr="004A0F53">
        <w:rPr>
          <w:rFonts w:ascii="Calibri" w:hAnsi="Calibri" w:cs="Tahoma"/>
          <w:color w:val="000000"/>
          <w:kern w:val="24"/>
          <w:sz w:val="22"/>
          <w:lang w:eastAsia="en-GB"/>
        </w:rPr>
        <w:t xml:space="preserve">NPCC </w:t>
      </w:r>
      <w:r>
        <w:rPr>
          <w:rFonts w:ascii="Calibri" w:hAnsi="Calibri" w:cs="Tahoma"/>
          <w:color w:val="000000"/>
          <w:kern w:val="24"/>
          <w:sz w:val="22"/>
          <w:lang w:eastAsia="en-GB"/>
        </w:rPr>
        <w:t>intend</w:t>
      </w:r>
      <w:r w:rsidRPr="004A0F53">
        <w:rPr>
          <w:rFonts w:ascii="Calibri" w:hAnsi="Calibri" w:cs="Tahoma"/>
          <w:color w:val="000000"/>
          <w:kern w:val="24"/>
          <w:sz w:val="22"/>
          <w:lang w:eastAsia="en-GB"/>
        </w:rPr>
        <w:t xml:space="preserve"> to publish in the future</w:t>
      </w:r>
      <w:r>
        <w:rPr>
          <w:rFonts w:ascii="Calibri" w:hAnsi="Calibri" w:cs="Tahoma"/>
          <w:color w:val="000000"/>
          <w:kern w:val="24"/>
          <w:sz w:val="22"/>
          <w:lang w:eastAsia="en-GB"/>
        </w:rPr>
        <w:t>,</w:t>
      </w:r>
      <w:r w:rsidRPr="004A0F53">
        <w:rPr>
          <w:rFonts w:ascii="Calibri" w:hAnsi="Calibri" w:cs="Tahoma"/>
          <w:color w:val="000000"/>
          <w:kern w:val="24"/>
          <w:sz w:val="22"/>
          <w:lang w:eastAsia="en-GB"/>
        </w:rPr>
        <w:t xml:space="preserve"> information on costs, resources, </w:t>
      </w:r>
      <w:r w:rsidR="00360BA5">
        <w:rPr>
          <w:rFonts w:ascii="Calibri" w:hAnsi="Calibri" w:cs="Tahoma"/>
          <w:color w:val="000000"/>
          <w:kern w:val="24"/>
          <w:sz w:val="22"/>
          <w:lang w:eastAsia="en-GB"/>
        </w:rPr>
        <w:t xml:space="preserve">and statistics </w:t>
      </w:r>
      <w:r w:rsidRPr="004A0F53">
        <w:rPr>
          <w:rFonts w:ascii="Calibri" w:hAnsi="Calibri" w:cs="Tahoma"/>
          <w:color w:val="000000"/>
          <w:kern w:val="24"/>
          <w:sz w:val="22"/>
          <w:lang w:eastAsia="en-GB"/>
        </w:rPr>
        <w:t>relating to</w:t>
      </w:r>
      <w:r>
        <w:rPr>
          <w:rFonts w:ascii="Calibri" w:hAnsi="Calibri" w:cs="Tahoma"/>
          <w:color w:val="000000"/>
          <w:kern w:val="24"/>
          <w:sz w:val="22"/>
          <w:lang w:eastAsia="en-GB"/>
        </w:rPr>
        <w:t xml:space="preserve"> </w:t>
      </w:r>
      <w:r w:rsidR="00A8640F">
        <w:rPr>
          <w:rFonts w:ascii="Calibri" w:hAnsi="Calibri" w:cs="Tahoma"/>
          <w:color w:val="000000"/>
          <w:kern w:val="24"/>
          <w:sz w:val="22"/>
          <w:lang w:eastAsia="en-GB"/>
        </w:rPr>
        <w:t xml:space="preserve">the </w:t>
      </w:r>
      <w:r>
        <w:rPr>
          <w:rFonts w:ascii="Calibri" w:hAnsi="Calibri" w:cs="Tahoma"/>
          <w:color w:val="000000"/>
          <w:kern w:val="24"/>
          <w:sz w:val="22"/>
          <w:lang w:eastAsia="en-GB"/>
        </w:rPr>
        <w:t>Hydrant</w:t>
      </w:r>
      <w:r w:rsidR="00A8640F">
        <w:rPr>
          <w:rFonts w:ascii="Calibri" w:hAnsi="Calibri" w:cs="Tahoma"/>
          <w:color w:val="000000"/>
          <w:kern w:val="24"/>
          <w:sz w:val="22"/>
          <w:lang w:eastAsia="en-GB"/>
        </w:rPr>
        <w:t xml:space="preserve"> Programme</w:t>
      </w:r>
      <w:r w:rsidRPr="004A0F53">
        <w:rPr>
          <w:rFonts w:ascii="Calibri" w:hAnsi="Calibri" w:cs="Tahoma"/>
          <w:color w:val="000000"/>
          <w:kern w:val="24"/>
          <w:sz w:val="22"/>
          <w:lang w:eastAsia="en-GB"/>
        </w:rPr>
        <w:t xml:space="preserve">.  </w:t>
      </w:r>
      <w:r>
        <w:rPr>
          <w:rFonts w:ascii="Calibri" w:hAnsi="Calibri" w:cs="Tahoma"/>
          <w:color w:val="000000"/>
          <w:kern w:val="24"/>
          <w:sz w:val="22"/>
          <w:lang w:eastAsia="en-GB"/>
        </w:rPr>
        <w:t>Individual forces may also decide to publish material.  If so, a</w:t>
      </w:r>
      <w:r w:rsidRPr="004A0F53">
        <w:rPr>
          <w:rFonts w:ascii="Calibri" w:hAnsi="Calibri" w:cs="Tahoma"/>
          <w:color w:val="000000"/>
          <w:kern w:val="24"/>
          <w:sz w:val="22"/>
          <w:lang w:eastAsia="en-GB"/>
        </w:rPr>
        <w:t xml:space="preserve"> decision must be established prior t</w:t>
      </w:r>
      <w:r>
        <w:rPr>
          <w:rFonts w:ascii="Calibri" w:hAnsi="Calibri" w:cs="Tahoma"/>
          <w:color w:val="000000"/>
          <w:kern w:val="24"/>
          <w:sz w:val="22"/>
          <w:lang w:eastAsia="en-GB"/>
        </w:rPr>
        <w:t xml:space="preserve">o the receipt of an FOI request.  The table, at Appendix A, </w:t>
      </w:r>
      <w:r w:rsidRPr="004A0F53">
        <w:rPr>
          <w:rFonts w:ascii="Calibri" w:hAnsi="Calibri" w:cs="Tahoma"/>
          <w:color w:val="000000"/>
          <w:kern w:val="24"/>
          <w:sz w:val="22"/>
          <w:lang w:eastAsia="en-GB"/>
        </w:rPr>
        <w:t>is information the</w:t>
      </w:r>
      <w:r>
        <w:rPr>
          <w:rFonts w:ascii="Calibri" w:hAnsi="Calibri" w:cs="Tahoma"/>
          <w:color w:val="000000"/>
          <w:kern w:val="24"/>
          <w:sz w:val="22"/>
          <w:lang w:eastAsia="en-GB"/>
        </w:rPr>
        <w:t xml:space="preserve"> NPCC will undertake to publish.</w:t>
      </w:r>
    </w:p>
    <w:p w14:paraId="43F84B3D" w14:textId="77777777" w:rsidR="005C32C3" w:rsidRDefault="005C32C3" w:rsidP="0079729E">
      <w:pPr>
        <w:spacing w:after="0" w:line="240" w:lineRule="auto"/>
        <w:ind w:right="-154"/>
        <w:jc w:val="both"/>
        <w:rPr>
          <w:rFonts w:ascii="Calibri" w:hAnsi="Calibri" w:cs="Tahoma"/>
          <w:color w:val="000000"/>
          <w:kern w:val="24"/>
          <w:sz w:val="22"/>
          <w:lang w:eastAsia="en-GB"/>
        </w:rPr>
      </w:pPr>
    </w:p>
    <w:p w14:paraId="58A947FF" w14:textId="77777777" w:rsidR="005C32C3" w:rsidRPr="004A0F53" w:rsidRDefault="005C32C3" w:rsidP="0079729E">
      <w:pPr>
        <w:spacing w:after="0" w:line="240" w:lineRule="auto"/>
        <w:jc w:val="left"/>
        <w:rPr>
          <w:rFonts w:ascii="Calibri" w:hAnsi="Calibri" w:cs="Tahoma"/>
          <w:b/>
          <w:color w:val="000000"/>
          <w:kern w:val="24"/>
          <w:sz w:val="22"/>
          <w:lang w:eastAsia="en-GB"/>
        </w:rPr>
      </w:pPr>
      <w:r w:rsidRPr="004A0F53">
        <w:rPr>
          <w:rFonts w:ascii="Calibri" w:hAnsi="Calibri" w:cs="Tahoma"/>
          <w:b/>
          <w:color w:val="000000"/>
          <w:kern w:val="24"/>
          <w:sz w:val="22"/>
          <w:lang w:eastAsia="en-GB"/>
        </w:rPr>
        <w:lastRenderedPageBreak/>
        <w:t>Data Protection Act (DPA)</w:t>
      </w:r>
    </w:p>
    <w:p w14:paraId="713BE13E" w14:textId="77777777" w:rsidR="005C32C3" w:rsidRPr="004A0F53" w:rsidRDefault="005C32C3" w:rsidP="0079729E">
      <w:pPr>
        <w:spacing w:after="0" w:line="240" w:lineRule="auto"/>
        <w:jc w:val="left"/>
        <w:rPr>
          <w:rFonts w:ascii="Calibri" w:hAnsi="Calibri" w:cs="Tahoma"/>
          <w:b/>
          <w:color w:val="000000"/>
          <w:kern w:val="24"/>
          <w:sz w:val="22"/>
        </w:rPr>
      </w:pPr>
    </w:p>
    <w:p w14:paraId="213CFF09" w14:textId="77777777" w:rsidR="005C32C3" w:rsidRDefault="005C32C3" w:rsidP="0079729E">
      <w:pPr>
        <w:spacing w:after="0" w:line="240" w:lineRule="auto"/>
        <w:ind w:right="-153"/>
        <w:jc w:val="both"/>
        <w:rPr>
          <w:rFonts w:ascii="Calibri" w:hAnsi="Calibri" w:cs="Tahoma"/>
          <w:sz w:val="22"/>
          <w:lang w:val="en-US"/>
        </w:rPr>
      </w:pPr>
      <w:r w:rsidRPr="004A0F53">
        <w:rPr>
          <w:rFonts w:ascii="Calibri" w:hAnsi="Calibri" w:cs="Tahoma"/>
          <w:sz w:val="22"/>
          <w:lang w:val="en-US"/>
        </w:rPr>
        <w:t>In addition to FOI requests</w:t>
      </w:r>
      <w:r>
        <w:rPr>
          <w:rFonts w:ascii="Calibri" w:hAnsi="Calibri" w:cs="Tahoma"/>
          <w:sz w:val="22"/>
          <w:lang w:val="en-US"/>
        </w:rPr>
        <w:t>,</w:t>
      </w:r>
      <w:r w:rsidRPr="004A0F53">
        <w:rPr>
          <w:rFonts w:ascii="Calibri" w:hAnsi="Calibri" w:cs="Tahoma"/>
          <w:sz w:val="22"/>
          <w:lang w:val="en-US"/>
        </w:rPr>
        <w:t xml:space="preserve"> a relevant PA may also receive a request under subject access for personal information</w:t>
      </w:r>
      <w:r>
        <w:rPr>
          <w:rFonts w:ascii="Calibri" w:hAnsi="Calibri" w:cs="Tahoma"/>
          <w:sz w:val="22"/>
          <w:lang w:val="en-US"/>
        </w:rPr>
        <w:t xml:space="preserve"> under the DPA</w:t>
      </w:r>
      <w:r w:rsidRPr="004A0F53">
        <w:rPr>
          <w:rFonts w:ascii="Calibri" w:hAnsi="Calibri" w:cs="Tahoma"/>
          <w:sz w:val="22"/>
          <w:lang w:val="en-US"/>
        </w:rPr>
        <w:t>.  The main</w:t>
      </w:r>
      <w:r>
        <w:rPr>
          <w:rFonts w:ascii="Calibri" w:hAnsi="Calibri" w:cs="Tahoma"/>
          <w:sz w:val="22"/>
          <w:lang w:val="en-US"/>
        </w:rPr>
        <w:t xml:space="preserve"> difference between this and FOI</w:t>
      </w:r>
      <w:r w:rsidRPr="004A0F53">
        <w:rPr>
          <w:rFonts w:ascii="Calibri" w:hAnsi="Calibri" w:cs="Tahoma"/>
          <w:sz w:val="22"/>
          <w:lang w:val="en-US"/>
        </w:rPr>
        <w:t xml:space="preserve"> is that a release of personal information is not a release to the world in general.  Although it is impossible to pre</w:t>
      </w:r>
      <w:r w:rsidR="00722293">
        <w:rPr>
          <w:rFonts w:ascii="Calibri" w:hAnsi="Calibri" w:cs="Tahoma"/>
          <w:sz w:val="22"/>
          <w:lang w:val="en-US"/>
        </w:rPr>
        <w:t>v</w:t>
      </w:r>
      <w:r w:rsidRPr="004A0F53">
        <w:rPr>
          <w:rFonts w:ascii="Calibri" w:hAnsi="Calibri" w:cs="Tahoma"/>
          <w:sz w:val="22"/>
          <w:lang w:val="en-US"/>
        </w:rPr>
        <w:t>ent what a data subject may do with their information, the information itself is also subject to a range of exclusions to disclosure, primarily law enforcement.  As with FOI</w:t>
      </w:r>
      <w:r>
        <w:rPr>
          <w:rFonts w:ascii="Calibri" w:hAnsi="Calibri" w:cs="Tahoma"/>
          <w:sz w:val="22"/>
          <w:lang w:val="en-US"/>
        </w:rPr>
        <w:t>,</w:t>
      </w:r>
      <w:r w:rsidRPr="004A0F53">
        <w:rPr>
          <w:rFonts w:ascii="Calibri" w:hAnsi="Calibri" w:cs="Tahoma"/>
          <w:sz w:val="22"/>
          <w:lang w:val="en-US"/>
        </w:rPr>
        <w:t xml:space="preserve"> the ultimate decision on disclosure will lay with the individual data controller, but in contrast to FOI</w:t>
      </w:r>
      <w:r>
        <w:rPr>
          <w:rFonts w:ascii="Calibri" w:hAnsi="Calibri" w:cs="Tahoma"/>
          <w:sz w:val="22"/>
          <w:lang w:val="en-US"/>
        </w:rPr>
        <w:t>,</w:t>
      </w:r>
      <w:r w:rsidRPr="004A0F53">
        <w:rPr>
          <w:rFonts w:ascii="Calibri" w:hAnsi="Calibri" w:cs="Tahoma"/>
          <w:sz w:val="22"/>
          <w:lang w:val="en-US"/>
        </w:rPr>
        <w:t xml:space="preserve"> the personal information may not be held by all PAs involved in the operation.</w:t>
      </w:r>
    </w:p>
    <w:p w14:paraId="3C10CB52" w14:textId="77777777" w:rsidR="005C32C3" w:rsidRDefault="005C32C3" w:rsidP="0079729E">
      <w:pPr>
        <w:spacing w:after="0" w:line="240" w:lineRule="auto"/>
        <w:ind w:right="-153"/>
        <w:jc w:val="both"/>
        <w:rPr>
          <w:rFonts w:ascii="Calibri" w:hAnsi="Calibri" w:cs="Tahoma"/>
          <w:sz w:val="22"/>
          <w:lang w:val="en-US"/>
        </w:rPr>
      </w:pPr>
    </w:p>
    <w:p w14:paraId="6B54D477" w14:textId="77777777" w:rsidR="005C32C3" w:rsidRPr="004A0F53" w:rsidRDefault="005C32C3" w:rsidP="0079729E">
      <w:pPr>
        <w:spacing w:after="0" w:line="240" w:lineRule="auto"/>
        <w:ind w:right="-153"/>
        <w:jc w:val="both"/>
        <w:rPr>
          <w:rFonts w:ascii="Calibri" w:hAnsi="Calibri" w:cs="Tahoma"/>
          <w:sz w:val="22"/>
          <w:lang w:val="en-US"/>
        </w:rPr>
      </w:pPr>
      <w:r>
        <w:rPr>
          <w:rFonts w:ascii="Calibri" w:hAnsi="Calibri" w:cs="Tahoma"/>
          <w:sz w:val="22"/>
          <w:lang w:val="en-US"/>
        </w:rPr>
        <w:t>Whilst there is no formal referral process for DPA requests, P</w:t>
      </w:r>
      <w:r w:rsidR="00722293">
        <w:rPr>
          <w:rFonts w:ascii="Calibri" w:hAnsi="Calibri" w:cs="Tahoma"/>
          <w:sz w:val="22"/>
          <w:lang w:val="en-US"/>
        </w:rPr>
        <w:t>A</w:t>
      </w:r>
      <w:r>
        <w:rPr>
          <w:rFonts w:ascii="Calibri" w:hAnsi="Calibri" w:cs="Tahoma"/>
          <w:sz w:val="22"/>
          <w:lang w:val="en-US"/>
        </w:rPr>
        <w:t xml:space="preserve">s are encouraged to refer such requests to both the NPCC lead and the NPCC DP Officer who will be </w:t>
      </w:r>
      <w:proofErr w:type="gramStart"/>
      <w:r>
        <w:rPr>
          <w:rFonts w:ascii="Calibri" w:hAnsi="Calibri" w:cs="Tahoma"/>
          <w:sz w:val="22"/>
          <w:lang w:val="en-US"/>
        </w:rPr>
        <w:t>in a position</w:t>
      </w:r>
      <w:proofErr w:type="gramEnd"/>
      <w:r>
        <w:rPr>
          <w:rFonts w:ascii="Calibri" w:hAnsi="Calibri" w:cs="Tahoma"/>
          <w:sz w:val="22"/>
          <w:lang w:val="en-US"/>
        </w:rPr>
        <w:t xml:space="preserve"> to provide corporate advice and direction on disclosure in conjunction with other relevant stakeholders.  </w:t>
      </w:r>
    </w:p>
    <w:p w14:paraId="3067C49B" w14:textId="77777777" w:rsidR="005C32C3" w:rsidRPr="004A0F53" w:rsidRDefault="005C32C3" w:rsidP="0079729E">
      <w:pPr>
        <w:spacing w:after="0" w:line="240" w:lineRule="auto"/>
        <w:ind w:right="-153"/>
        <w:jc w:val="both"/>
        <w:rPr>
          <w:rFonts w:ascii="Calibri" w:hAnsi="Calibri" w:cs="Tahoma"/>
          <w:sz w:val="22"/>
          <w:lang w:val="en-US"/>
        </w:rPr>
      </w:pPr>
    </w:p>
    <w:p w14:paraId="17EE2D07" w14:textId="51BC6AC2" w:rsidR="005C32C3" w:rsidRDefault="005C32C3" w:rsidP="00360BA5">
      <w:pPr>
        <w:spacing w:after="0" w:line="240" w:lineRule="auto"/>
        <w:ind w:right="-153"/>
        <w:jc w:val="both"/>
        <w:rPr>
          <w:rFonts w:ascii="Calibri" w:hAnsi="Calibri" w:cs="Tahoma"/>
          <w:sz w:val="22"/>
          <w:lang w:val="en-US"/>
        </w:rPr>
      </w:pPr>
      <w:r w:rsidRPr="004A0F53">
        <w:rPr>
          <w:rFonts w:ascii="Calibri" w:hAnsi="Calibri" w:cs="Tahoma"/>
          <w:sz w:val="22"/>
          <w:lang w:val="en-US"/>
        </w:rPr>
        <w:t xml:space="preserve">As the information under DPA is of a personal nature </w:t>
      </w:r>
      <w:r w:rsidR="00722293">
        <w:rPr>
          <w:rFonts w:ascii="Calibri" w:hAnsi="Calibri" w:cs="Tahoma"/>
          <w:sz w:val="22"/>
          <w:lang w:val="en-US"/>
        </w:rPr>
        <w:t>there is potential for</w:t>
      </w:r>
      <w:r w:rsidRPr="004A0F53">
        <w:rPr>
          <w:rFonts w:ascii="Calibri" w:hAnsi="Calibri" w:cs="Tahoma"/>
          <w:sz w:val="22"/>
          <w:lang w:val="en-US"/>
        </w:rPr>
        <w:t xml:space="preserve"> certain subjects </w:t>
      </w:r>
      <w:r w:rsidR="00722293">
        <w:rPr>
          <w:rFonts w:ascii="Calibri" w:hAnsi="Calibri" w:cs="Tahoma"/>
          <w:sz w:val="22"/>
          <w:lang w:val="en-US"/>
        </w:rPr>
        <w:t>to</w:t>
      </w:r>
      <w:r w:rsidRPr="004A0F53">
        <w:rPr>
          <w:rFonts w:ascii="Calibri" w:hAnsi="Calibri" w:cs="Tahoma"/>
          <w:sz w:val="22"/>
          <w:lang w:val="en-US"/>
        </w:rPr>
        <w:t xml:space="preserve"> seek to </w:t>
      </w:r>
      <w:proofErr w:type="spellStart"/>
      <w:r w:rsidRPr="004A0F53">
        <w:rPr>
          <w:rFonts w:ascii="Calibri" w:hAnsi="Calibri" w:cs="Tahoma"/>
          <w:sz w:val="22"/>
          <w:lang w:val="en-US"/>
        </w:rPr>
        <w:t>publicise</w:t>
      </w:r>
      <w:proofErr w:type="spellEnd"/>
      <w:r w:rsidRPr="004A0F53">
        <w:rPr>
          <w:rFonts w:ascii="Calibri" w:hAnsi="Calibri" w:cs="Tahoma"/>
          <w:sz w:val="22"/>
          <w:lang w:val="en-US"/>
        </w:rPr>
        <w:t xml:space="preserve"> </w:t>
      </w:r>
      <w:r>
        <w:rPr>
          <w:rFonts w:ascii="Calibri" w:hAnsi="Calibri" w:cs="Tahoma"/>
          <w:sz w:val="22"/>
          <w:lang w:val="en-US"/>
        </w:rPr>
        <w:t>the</w:t>
      </w:r>
      <w:r w:rsidR="00A8640F">
        <w:rPr>
          <w:rFonts w:ascii="Calibri" w:hAnsi="Calibri" w:cs="Tahoma"/>
          <w:sz w:val="22"/>
          <w:lang w:val="en-US"/>
        </w:rPr>
        <w:t xml:space="preserve"> response they receive to their request</w:t>
      </w:r>
      <w:r w:rsidRPr="004A0F53">
        <w:rPr>
          <w:rFonts w:ascii="Calibri" w:hAnsi="Calibri" w:cs="Tahoma"/>
          <w:sz w:val="22"/>
          <w:lang w:val="en-US"/>
        </w:rPr>
        <w:t>, especially if there is a sense of injustice.  It is therefore important that local media</w:t>
      </w:r>
      <w:r w:rsidR="00722293">
        <w:rPr>
          <w:rFonts w:ascii="Calibri" w:hAnsi="Calibri" w:cs="Tahoma"/>
          <w:sz w:val="22"/>
          <w:lang w:val="en-US"/>
        </w:rPr>
        <w:t xml:space="preserve"> / communications</w:t>
      </w:r>
      <w:r w:rsidRPr="004A0F53">
        <w:rPr>
          <w:rFonts w:ascii="Calibri" w:hAnsi="Calibri" w:cs="Tahoma"/>
          <w:sz w:val="22"/>
          <w:lang w:val="en-US"/>
        </w:rPr>
        <w:t xml:space="preserve"> teams are briefed on any DPA disclosure, by their own PA, who will then be responsible for notifying </w:t>
      </w:r>
      <w:r w:rsidR="00360BA5">
        <w:rPr>
          <w:rFonts w:ascii="Calibri" w:hAnsi="Calibri" w:cs="Tahoma"/>
          <w:sz w:val="22"/>
          <w:lang w:val="en-US"/>
        </w:rPr>
        <w:t xml:space="preserve">the </w:t>
      </w:r>
      <w:r w:rsidR="000F49F8">
        <w:rPr>
          <w:rFonts w:ascii="Calibri" w:hAnsi="Calibri" w:cs="Tahoma"/>
          <w:sz w:val="22"/>
          <w:lang w:val="en-US"/>
        </w:rPr>
        <w:t>Hydrant</w:t>
      </w:r>
      <w:r w:rsidR="00A8640F">
        <w:rPr>
          <w:rFonts w:ascii="Calibri" w:hAnsi="Calibri" w:cs="Tahoma"/>
          <w:sz w:val="22"/>
          <w:lang w:val="en-US"/>
        </w:rPr>
        <w:t xml:space="preserve"> </w:t>
      </w:r>
      <w:proofErr w:type="spellStart"/>
      <w:r w:rsidR="00A8640F">
        <w:rPr>
          <w:rFonts w:ascii="Calibri" w:hAnsi="Calibri" w:cs="Tahoma"/>
          <w:sz w:val="22"/>
          <w:lang w:val="en-US"/>
        </w:rPr>
        <w:t>Programme</w:t>
      </w:r>
      <w:proofErr w:type="spellEnd"/>
      <w:r w:rsidR="000F49F8">
        <w:rPr>
          <w:rFonts w:ascii="Calibri" w:hAnsi="Calibri" w:cs="Tahoma"/>
          <w:sz w:val="22"/>
          <w:lang w:val="en-US"/>
        </w:rPr>
        <w:t xml:space="preserve"> communications team.</w:t>
      </w:r>
    </w:p>
    <w:p w14:paraId="27421A4B" w14:textId="77777777" w:rsidR="005C32C3" w:rsidRDefault="005C32C3" w:rsidP="00A312EE">
      <w:pPr>
        <w:spacing w:after="0" w:line="240" w:lineRule="auto"/>
        <w:ind w:right="-153"/>
        <w:jc w:val="both"/>
        <w:rPr>
          <w:rFonts w:ascii="Calibri" w:hAnsi="Calibri" w:cs="Tahoma"/>
          <w:sz w:val="22"/>
          <w:lang w:val="en-US"/>
        </w:rPr>
      </w:pPr>
    </w:p>
    <w:p w14:paraId="2DF7844B" w14:textId="77777777" w:rsidR="005C32C3" w:rsidRDefault="005C32C3" w:rsidP="00A312EE">
      <w:pPr>
        <w:spacing w:after="0" w:line="240" w:lineRule="auto"/>
        <w:ind w:right="-153"/>
        <w:jc w:val="both"/>
        <w:rPr>
          <w:rFonts w:ascii="Calibri" w:hAnsi="Calibri" w:cs="Tahoma"/>
          <w:sz w:val="22"/>
          <w:lang w:val="en-US"/>
        </w:rPr>
      </w:pPr>
    </w:p>
    <w:p w14:paraId="0B9AEAF2" w14:textId="77777777" w:rsidR="005C32C3" w:rsidRDefault="005C32C3" w:rsidP="00A312EE">
      <w:pPr>
        <w:spacing w:after="0" w:line="240" w:lineRule="auto"/>
        <w:ind w:right="-153"/>
        <w:jc w:val="both"/>
        <w:rPr>
          <w:rFonts w:ascii="Calibri" w:hAnsi="Calibri" w:cs="Tahoma"/>
          <w:sz w:val="22"/>
          <w:lang w:val="en-US"/>
        </w:rPr>
      </w:pPr>
    </w:p>
    <w:p w14:paraId="5133F425" w14:textId="77777777" w:rsidR="005C32C3" w:rsidRDefault="005C32C3" w:rsidP="00A312EE">
      <w:pPr>
        <w:spacing w:after="0" w:line="240" w:lineRule="auto"/>
        <w:ind w:right="-153"/>
        <w:jc w:val="both"/>
        <w:rPr>
          <w:rFonts w:ascii="Calibri" w:hAnsi="Calibri" w:cs="Tahoma"/>
          <w:sz w:val="22"/>
          <w:lang w:val="en-US"/>
        </w:rPr>
      </w:pPr>
    </w:p>
    <w:p w14:paraId="512A0C0D" w14:textId="77777777" w:rsidR="005C32C3" w:rsidRDefault="005C32C3" w:rsidP="00A312EE">
      <w:pPr>
        <w:spacing w:after="0" w:line="240" w:lineRule="auto"/>
        <w:ind w:right="-153"/>
        <w:jc w:val="both"/>
        <w:rPr>
          <w:rFonts w:ascii="Calibri" w:hAnsi="Calibri" w:cs="Tahoma"/>
          <w:sz w:val="22"/>
          <w:lang w:val="en-US"/>
        </w:rPr>
      </w:pPr>
    </w:p>
    <w:p w14:paraId="551D3C0B" w14:textId="77777777" w:rsidR="005C32C3" w:rsidRDefault="005C32C3" w:rsidP="00A312EE">
      <w:pPr>
        <w:spacing w:after="0" w:line="240" w:lineRule="auto"/>
        <w:ind w:right="-153"/>
        <w:jc w:val="both"/>
        <w:rPr>
          <w:rFonts w:ascii="Calibri" w:hAnsi="Calibri" w:cs="Tahoma"/>
          <w:sz w:val="22"/>
          <w:lang w:val="en-US"/>
        </w:rPr>
      </w:pPr>
    </w:p>
    <w:p w14:paraId="5D954C5C" w14:textId="77777777" w:rsidR="005C32C3" w:rsidRDefault="005C32C3" w:rsidP="00A312EE">
      <w:pPr>
        <w:spacing w:after="0" w:line="240" w:lineRule="auto"/>
        <w:ind w:right="-153"/>
        <w:jc w:val="both"/>
        <w:rPr>
          <w:rFonts w:ascii="Calibri" w:hAnsi="Calibri" w:cs="Tahoma"/>
          <w:sz w:val="22"/>
          <w:lang w:val="en-US"/>
        </w:rPr>
      </w:pPr>
    </w:p>
    <w:p w14:paraId="439F4182" w14:textId="77777777" w:rsidR="005C32C3" w:rsidRDefault="005C32C3" w:rsidP="00A312EE">
      <w:pPr>
        <w:spacing w:after="0" w:line="240" w:lineRule="auto"/>
        <w:ind w:right="-153"/>
        <w:jc w:val="both"/>
        <w:rPr>
          <w:rFonts w:ascii="Calibri" w:hAnsi="Calibri" w:cs="Tahoma"/>
          <w:sz w:val="22"/>
          <w:lang w:val="en-US"/>
        </w:rPr>
      </w:pPr>
    </w:p>
    <w:p w14:paraId="4FA0FB22" w14:textId="77777777" w:rsidR="005C32C3" w:rsidRDefault="005C32C3" w:rsidP="00A312EE">
      <w:pPr>
        <w:spacing w:after="0" w:line="240" w:lineRule="auto"/>
        <w:ind w:right="-153"/>
        <w:jc w:val="both"/>
        <w:rPr>
          <w:rFonts w:ascii="Calibri" w:hAnsi="Calibri" w:cs="Tahoma"/>
          <w:sz w:val="22"/>
          <w:lang w:val="en-US"/>
        </w:rPr>
      </w:pPr>
    </w:p>
    <w:p w14:paraId="6DCF1832" w14:textId="77777777" w:rsidR="005C32C3" w:rsidRDefault="005C32C3" w:rsidP="00A312EE">
      <w:pPr>
        <w:spacing w:after="0" w:line="240" w:lineRule="auto"/>
        <w:ind w:right="-153"/>
        <w:jc w:val="both"/>
        <w:rPr>
          <w:rFonts w:ascii="Calibri" w:hAnsi="Calibri" w:cs="Tahoma"/>
          <w:sz w:val="22"/>
          <w:lang w:val="en-US"/>
        </w:rPr>
      </w:pPr>
    </w:p>
    <w:p w14:paraId="3CE035FE" w14:textId="77777777" w:rsidR="005C32C3" w:rsidRDefault="005C32C3" w:rsidP="00A312EE">
      <w:pPr>
        <w:spacing w:after="0" w:line="240" w:lineRule="auto"/>
        <w:ind w:right="-153"/>
        <w:jc w:val="both"/>
        <w:rPr>
          <w:rFonts w:ascii="Calibri" w:hAnsi="Calibri" w:cs="Tahoma"/>
          <w:sz w:val="22"/>
          <w:lang w:val="en-US"/>
        </w:rPr>
      </w:pPr>
    </w:p>
    <w:p w14:paraId="0084269F" w14:textId="77777777" w:rsidR="005C32C3" w:rsidRDefault="005C32C3" w:rsidP="00487C55">
      <w:pPr>
        <w:spacing w:after="0" w:line="240" w:lineRule="auto"/>
        <w:ind w:right="-154"/>
        <w:jc w:val="both"/>
        <w:rPr>
          <w:rFonts w:ascii="Calibri" w:hAnsi="Calibri" w:cs="Tahoma"/>
          <w:sz w:val="22"/>
          <w:lang w:val="en-US"/>
        </w:rPr>
      </w:pPr>
    </w:p>
    <w:p w14:paraId="68CA50F7" w14:textId="77777777" w:rsidR="005C32C3" w:rsidRDefault="005C32C3" w:rsidP="00487C55">
      <w:pPr>
        <w:spacing w:after="0" w:line="240" w:lineRule="auto"/>
        <w:ind w:right="-154"/>
        <w:jc w:val="both"/>
        <w:rPr>
          <w:rFonts w:ascii="Calibri" w:hAnsi="Calibri" w:cs="Tahoma"/>
          <w:b/>
          <w:color w:val="000000"/>
          <w:kern w:val="24"/>
          <w:sz w:val="28"/>
          <w:szCs w:val="28"/>
          <w:lang w:eastAsia="en-GB"/>
        </w:rPr>
      </w:pPr>
      <w:r>
        <w:rPr>
          <w:rFonts w:ascii="Calibri" w:hAnsi="Calibri" w:cs="Tahoma"/>
          <w:b/>
          <w:color w:val="000000"/>
          <w:kern w:val="24"/>
          <w:sz w:val="28"/>
          <w:szCs w:val="28"/>
          <w:lang w:eastAsia="en-GB"/>
        </w:rPr>
        <w:br w:type="page"/>
      </w:r>
      <w:r>
        <w:rPr>
          <w:rFonts w:ascii="Calibri" w:hAnsi="Calibri" w:cs="Tahoma"/>
          <w:b/>
          <w:color w:val="000000"/>
          <w:kern w:val="24"/>
          <w:sz w:val="28"/>
          <w:szCs w:val="28"/>
          <w:lang w:eastAsia="en-GB"/>
        </w:rPr>
        <w:lastRenderedPageBreak/>
        <w:t xml:space="preserve">Appendix A - </w:t>
      </w:r>
      <w:r w:rsidRPr="00191DC8">
        <w:rPr>
          <w:rFonts w:ascii="Calibri" w:hAnsi="Calibri" w:cs="Tahoma"/>
          <w:b/>
          <w:color w:val="000000"/>
          <w:kern w:val="24"/>
          <w:sz w:val="28"/>
          <w:szCs w:val="28"/>
          <w:lang w:eastAsia="en-GB"/>
        </w:rPr>
        <w:t>I</w:t>
      </w:r>
      <w:r>
        <w:rPr>
          <w:rFonts w:ascii="Calibri" w:hAnsi="Calibri" w:cs="Tahoma"/>
          <w:b/>
          <w:color w:val="000000"/>
          <w:kern w:val="24"/>
          <w:sz w:val="28"/>
          <w:szCs w:val="28"/>
          <w:lang w:eastAsia="en-GB"/>
        </w:rPr>
        <w:t>nformation held by the NPCC</w:t>
      </w:r>
    </w:p>
    <w:p w14:paraId="3490FE35" w14:textId="77777777" w:rsidR="00B729E0" w:rsidRDefault="00B729E0" w:rsidP="00487C55">
      <w:pPr>
        <w:spacing w:after="0" w:line="240" w:lineRule="auto"/>
        <w:ind w:right="-154"/>
        <w:jc w:val="both"/>
        <w:rPr>
          <w:rFonts w:ascii="Calibri" w:hAnsi="Calibri" w:cs="Tahoma"/>
          <w:b/>
          <w:color w:val="000000"/>
          <w:kern w:val="24"/>
          <w:sz w:val="28"/>
          <w:szCs w:val="28"/>
          <w:lang w:eastAsia="en-GB"/>
        </w:rPr>
      </w:pPr>
    </w:p>
    <w:tbl>
      <w:tblPr>
        <w:tblW w:w="10628" w:type="dxa"/>
        <w:tblInd w:w="-11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802"/>
        <w:gridCol w:w="4819"/>
        <w:gridCol w:w="3007"/>
      </w:tblGrid>
      <w:tr w:rsidR="00EB5EBD" w:rsidRPr="00771F49" w14:paraId="3D92B3D5" w14:textId="77777777" w:rsidTr="000F49F8">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C6D9F1"/>
          </w:tcPr>
          <w:p w14:paraId="3974FA77" w14:textId="77777777" w:rsidR="00EB5EBD" w:rsidRPr="00EB5EBD" w:rsidRDefault="00EB5EBD" w:rsidP="00EB5EBD">
            <w:pPr>
              <w:autoSpaceDE w:val="0"/>
              <w:autoSpaceDN w:val="0"/>
              <w:adjustRightInd w:val="0"/>
              <w:spacing w:after="0" w:line="240" w:lineRule="auto"/>
              <w:jc w:val="center"/>
              <w:rPr>
                <w:rFonts w:ascii="Calibri" w:eastAsia="Calibri" w:hAnsi="Calibri"/>
                <w:b/>
                <w:color w:val="000000"/>
                <w:lang w:val="en-US"/>
              </w:rPr>
            </w:pPr>
            <w:r w:rsidRPr="00EB5EBD">
              <w:rPr>
                <w:rFonts w:ascii="Calibri" w:eastAsia="Calibri" w:hAnsi="Calibri"/>
                <w:b/>
                <w:color w:val="000000"/>
                <w:lang w:val="en-US"/>
              </w:rPr>
              <w:t>Type of Information</w:t>
            </w:r>
          </w:p>
        </w:tc>
        <w:tc>
          <w:tcPr>
            <w:tcW w:w="4819" w:type="dxa"/>
            <w:tcBorders>
              <w:top w:val="single" w:sz="8" w:space="0" w:color="000000"/>
              <w:left w:val="single" w:sz="8" w:space="0" w:color="000000"/>
              <w:bottom w:val="single" w:sz="8" w:space="0" w:color="000000"/>
              <w:right w:val="single" w:sz="8" w:space="0" w:color="000000"/>
            </w:tcBorders>
            <w:shd w:val="clear" w:color="auto" w:fill="C6D9F1"/>
          </w:tcPr>
          <w:p w14:paraId="57B97E72" w14:textId="77777777" w:rsidR="00EB5EBD" w:rsidRPr="00EB5EBD" w:rsidRDefault="00EB5EBD" w:rsidP="00EB5EBD">
            <w:pPr>
              <w:autoSpaceDE w:val="0"/>
              <w:autoSpaceDN w:val="0"/>
              <w:adjustRightInd w:val="0"/>
              <w:spacing w:after="0" w:line="240" w:lineRule="auto"/>
              <w:jc w:val="center"/>
              <w:rPr>
                <w:rFonts w:ascii="Calibri" w:eastAsia="Calibri" w:hAnsi="Calibri"/>
                <w:b/>
                <w:color w:val="000000"/>
                <w:lang w:val="en-US"/>
              </w:rPr>
            </w:pPr>
            <w:r w:rsidRPr="00EB5EBD">
              <w:rPr>
                <w:rFonts w:ascii="Calibri" w:eastAsia="Calibri" w:hAnsi="Calibri"/>
                <w:b/>
                <w:color w:val="000000"/>
                <w:lang w:val="en-US"/>
              </w:rPr>
              <w:t>Relevant Material</w:t>
            </w:r>
          </w:p>
        </w:tc>
        <w:tc>
          <w:tcPr>
            <w:tcW w:w="3007" w:type="dxa"/>
            <w:tcBorders>
              <w:top w:val="single" w:sz="8" w:space="0" w:color="000000"/>
              <w:left w:val="single" w:sz="8" w:space="0" w:color="000000"/>
              <w:bottom w:val="single" w:sz="8" w:space="0" w:color="000000"/>
              <w:right w:val="single" w:sz="8" w:space="0" w:color="000000"/>
            </w:tcBorders>
            <w:shd w:val="clear" w:color="auto" w:fill="C6D9F1"/>
          </w:tcPr>
          <w:p w14:paraId="0234C5BE" w14:textId="77777777" w:rsidR="00EB5EBD" w:rsidRPr="00EB5EBD" w:rsidRDefault="00EB5EBD" w:rsidP="00EB5EBD">
            <w:pPr>
              <w:autoSpaceDE w:val="0"/>
              <w:autoSpaceDN w:val="0"/>
              <w:adjustRightInd w:val="0"/>
              <w:jc w:val="center"/>
              <w:rPr>
                <w:rFonts w:ascii="Calibri" w:hAnsi="Calibri"/>
                <w:b/>
              </w:rPr>
            </w:pPr>
            <w:r w:rsidRPr="00EB5EBD">
              <w:rPr>
                <w:rFonts w:ascii="Calibri" w:hAnsi="Calibri"/>
                <w:b/>
              </w:rPr>
              <w:t>Publication Strategy</w:t>
            </w:r>
          </w:p>
        </w:tc>
      </w:tr>
      <w:tr w:rsidR="00B729E0" w:rsidRPr="00771F49" w14:paraId="15D33252" w14:textId="77777777" w:rsidTr="00FA2036">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C6D9F1"/>
            <w:hideMark/>
          </w:tcPr>
          <w:p w14:paraId="4009D9DC"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Statistics</w:t>
            </w:r>
          </w:p>
        </w:tc>
        <w:tc>
          <w:tcPr>
            <w:tcW w:w="4819" w:type="dxa"/>
            <w:tcBorders>
              <w:top w:val="single" w:sz="8" w:space="0" w:color="000000"/>
              <w:left w:val="single" w:sz="8" w:space="0" w:color="000000"/>
              <w:bottom w:val="single" w:sz="8" w:space="0" w:color="000000"/>
              <w:right w:val="single" w:sz="8" w:space="0" w:color="000000"/>
            </w:tcBorders>
            <w:shd w:val="clear" w:color="auto" w:fill="C6D9F1"/>
          </w:tcPr>
          <w:p w14:paraId="6F30521A" w14:textId="697B334F" w:rsidR="000F49F8" w:rsidRPr="00FA2036" w:rsidRDefault="00FA2036" w:rsidP="00FA2036">
            <w:pPr>
              <w:autoSpaceDE w:val="0"/>
              <w:autoSpaceDN w:val="0"/>
              <w:adjustRightInd w:val="0"/>
              <w:jc w:val="left"/>
              <w:rPr>
                <w:rFonts w:ascii="Calibri" w:eastAsia="Calibri" w:hAnsi="Calibri"/>
                <w:color w:val="000000"/>
                <w:lang w:val="en-US"/>
              </w:rPr>
            </w:pPr>
            <w:r>
              <w:rPr>
                <w:rFonts w:ascii="Calibri" w:eastAsia="Calibri" w:hAnsi="Calibri"/>
                <w:color w:val="000000"/>
                <w:lang w:val="en-US"/>
              </w:rPr>
              <w:t>TBC following implementation of the new structure, refinement of the A and R processes, and dialogue with VKPP</w:t>
            </w:r>
          </w:p>
        </w:tc>
        <w:tc>
          <w:tcPr>
            <w:tcW w:w="3007" w:type="dxa"/>
            <w:tcBorders>
              <w:top w:val="single" w:sz="8" w:space="0" w:color="000000"/>
              <w:left w:val="single" w:sz="8" w:space="0" w:color="000000"/>
              <w:bottom w:val="single" w:sz="8" w:space="0" w:color="000000"/>
              <w:right w:val="single" w:sz="8" w:space="0" w:color="000000"/>
            </w:tcBorders>
            <w:shd w:val="clear" w:color="auto" w:fill="C6D9F1"/>
          </w:tcPr>
          <w:p w14:paraId="2BCA956D" w14:textId="5F570B40" w:rsidR="00B729E0" w:rsidRPr="00771F49" w:rsidRDefault="00B729E0" w:rsidP="00B729E0">
            <w:pPr>
              <w:autoSpaceDE w:val="0"/>
              <w:autoSpaceDN w:val="0"/>
              <w:adjustRightInd w:val="0"/>
              <w:jc w:val="left"/>
              <w:rPr>
                <w:rFonts w:ascii="Calibri" w:hAnsi="Calibri"/>
              </w:rPr>
            </w:pPr>
          </w:p>
        </w:tc>
      </w:tr>
      <w:tr w:rsidR="00B729E0" w:rsidRPr="00771F49" w14:paraId="044BC6E2" w14:textId="77777777" w:rsidTr="000F49F8">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D6E3BC"/>
            <w:hideMark/>
          </w:tcPr>
          <w:p w14:paraId="3CA38097"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Governance</w:t>
            </w:r>
          </w:p>
        </w:tc>
        <w:tc>
          <w:tcPr>
            <w:tcW w:w="4819" w:type="dxa"/>
            <w:tcBorders>
              <w:top w:val="single" w:sz="8" w:space="0" w:color="000000"/>
              <w:left w:val="single" w:sz="8" w:space="0" w:color="000000"/>
              <w:bottom w:val="single" w:sz="8" w:space="0" w:color="000000"/>
              <w:right w:val="single" w:sz="8" w:space="0" w:color="000000"/>
            </w:tcBorders>
            <w:shd w:val="clear" w:color="auto" w:fill="D6E3BC"/>
          </w:tcPr>
          <w:p w14:paraId="4663E9BD" w14:textId="77777777" w:rsidR="00B729E0" w:rsidRPr="00771F49" w:rsidRDefault="00EB5EBD" w:rsidP="00EB5EBD">
            <w:pPr>
              <w:autoSpaceDE w:val="0"/>
              <w:autoSpaceDN w:val="0"/>
              <w:adjustRightInd w:val="0"/>
              <w:spacing w:after="0" w:line="240" w:lineRule="auto"/>
              <w:jc w:val="left"/>
              <w:rPr>
                <w:rFonts w:ascii="Calibri" w:eastAsia="Calibri" w:hAnsi="Calibri"/>
                <w:lang w:val="en-US"/>
              </w:rPr>
            </w:pPr>
            <w:r>
              <w:rPr>
                <w:rFonts w:ascii="Calibri" w:eastAsia="Calibri" w:hAnsi="Calibri"/>
                <w:lang w:val="en-US"/>
              </w:rPr>
              <w:t>Governance Group – membership and remit</w:t>
            </w:r>
          </w:p>
        </w:tc>
        <w:tc>
          <w:tcPr>
            <w:tcW w:w="3007" w:type="dxa"/>
            <w:tcBorders>
              <w:top w:val="single" w:sz="8" w:space="0" w:color="000000"/>
              <w:left w:val="single" w:sz="8" w:space="0" w:color="000000"/>
              <w:bottom w:val="single" w:sz="8" w:space="0" w:color="000000"/>
              <w:right w:val="single" w:sz="8" w:space="0" w:color="000000"/>
            </w:tcBorders>
            <w:shd w:val="clear" w:color="auto" w:fill="D6E3BC"/>
          </w:tcPr>
          <w:p w14:paraId="020AD3E7" w14:textId="77777777" w:rsidR="00B729E0" w:rsidRPr="00771F49" w:rsidRDefault="00B729E0" w:rsidP="00B729E0">
            <w:pPr>
              <w:autoSpaceDE w:val="0"/>
              <w:autoSpaceDN w:val="0"/>
              <w:adjustRightInd w:val="0"/>
              <w:jc w:val="left"/>
              <w:rPr>
                <w:rFonts w:ascii="Calibri" w:hAnsi="Calibri"/>
              </w:rPr>
            </w:pPr>
            <w:r w:rsidRPr="00771F49">
              <w:rPr>
                <w:rFonts w:ascii="Calibri" w:hAnsi="Calibri"/>
              </w:rPr>
              <w:t>Initially, and as refreshed</w:t>
            </w:r>
          </w:p>
          <w:p w14:paraId="746FE908" w14:textId="77777777" w:rsidR="00B729E0" w:rsidRPr="00771F49" w:rsidRDefault="00B729E0" w:rsidP="00B729E0">
            <w:pPr>
              <w:autoSpaceDE w:val="0"/>
              <w:autoSpaceDN w:val="0"/>
              <w:adjustRightInd w:val="0"/>
              <w:jc w:val="left"/>
              <w:rPr>
                <w:rFonts w:ascii="Calibri" w:hAnsi="Calibri"/>
              </w:rPr>
            </w:pPr>
          </w:p>
        </w:tc>
      </w:tr>
      <w:tr w:rsidR="00B729E0" w:rsidRPr="00771F49" w14:paraId="00F90FD5" w14:textId="77777777" w:rsidTr="000F49F8">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FDE9D9"/>
            <w:hideMark/>
          </w:tcPr>
          <w:p w14:paraId="6A197097"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Resources – Human and Financial</w:t>
            </w:r>
          </w:p>
        </w:tc>
        <w:tc>
          <w:tcPr>
            <w:tcW w:w="4819" w:type="dxa"/>
            <w:tcBorders>
              <w:top w:val="single" w:sz="8" w:space="0" w:color="000000"/>
              <w:left w:val="single" w:sz="8" w:space="0" w:color="000000"/>
              <w:bottom w:val="single" w:sz="8" w:space="0" w:color="000000"/>
              <w:right w:val="single" w:sz="8" w:space="0" w:color="000000"/>
            </w:tcBorders>
            <w:shd w:val="clear" w:color="auto" w:fill="FDE9D9"/>
          </w:tcPr>
          <w:p w14:paraId="6D013C4D"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Overall Budget</w:t>
            </w:r>
          </w:p>
          <w:p w14:paraId="637341F1"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57B5B103"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Funding sources / budget allocation.</w:t>
            </w:r>
          </w:p>
          <w:p w14:paraId="7054A098"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79A1E59F"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Expenditure over the previous financial year as global figure.</w:t>
            </w:r>
          </w:p>
          <w:p w14:paraId="52F2EF16" w14:textId="77777777" w:rsidR="00B729E0" w:rsidRPr="00771F49" w:rsidRDefault="00B729E0" w:rsidP="00B729E0">
            <w:pPr>
              <w:numPr>
                <w:ilvl w:val="0"/>
                <w:numId w:val="6"/>
              </w:num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 xml:space="preserve">Staffing </w:t>
            </w:r>
          </w:p>
          <w:p w14:paraId="4CCAEF3D"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2048E59B" w14:textId="77777777" w:rsidR="00B729E0" w:rsidRPr="00771F49" w:rsidRDefault="00B729E0" w:rsidP="00B729E0">
            <w:pPr>
              <w:numPr>
                <w:ilvl w:val="0"/>
                <w:numId w:val="5"/>
              </w:num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Legal costs.</w:t>
            </w:r>
          </w:p>
          <w:p w14:paraId="279D3B1C"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55F165CE" w14:textId="77777777" w:rsidR="00B729E0" w:rsidRPr="00771F49" w:rsidRDefault="00B729E0" w:rsidP="00B729E0">
            <w:pPr>
              <w:numPr>
                <w:ilvl w:val="0"/>
                <w:numId w:val="5"/>
              </w:num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Staff travel and expense claims</w:t>
            </w:r>
          </w:p>
          <w:p w14:paraId="28DB785D"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06A54A2D" w14:textId="77777777" w:rsidR="00B729E0" w:rsidRPr="00771F49" w:rsidRDefault="00B729E0" w:rsidP="00B729E0">
            <w:pPr>
              <w:numPr>
                <w:ilvl w:val="0"/>
                <w:numId w:val="5"/>
              </w:num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Accommodation</w:t>
            </w:r>
          </w:p>
        </w:tc>
        <w:tc>
          <w:tcPr>
            <w:tcW w:w="3007" w:type="dxa"/>
            <w:tcBorders>
              <w:top w:val="single" w:sz="8" w:space="0" w:color="000000"/>
              <w:left w:val="single" w:sz="8" w:space="0" w:color="000000"/>
              <w:bottom w:val="single" w:sz="8" w:space="0" w:color="000000"/>
              <w:right w:val="single" w:sz="8" w:space="0" w:color="000000"/>
            </w:tcBorders>
            <w:shd w:val="clear" w:color="auto" w:fill="FDE9D9"/>
          </w:tcPr>
          <w:p w14:paraId="0E1B5147" w14:textId="77777777" w:rsidR="00B729E0" w:rsidRPr="00771F49" w:rsidRDefault="00B729E0" w:rsidP="00B729E0">
            <w:pPr>
              <w:autoSpaceDE w:val="0"/>
              <w:autoSpaceDN w:val="0"/>
              <w:adjustRightInd w:val="0"/>
              <w:jc w:val="left"/>
              <w:rPr>
                <w:rFonts w:ascii="Calibri" w:hAnsi="Calibri"/>
              </w:rPr>
            </w:pPr>
            <w:r w:rsidRPr="00771F49">
              <w:rPr>
                <w:rFonts w:ascii="Calibri" w:hAnsi="Calibri"/>
              </w:rPr>
              <w:t>Annually at the start of the financial year.</w:t>
            </w:r>
          </w:p>
          <w:p w14:paraId="4909DBB9" w14:textId="77777777" w:rsidR="00B729E0" w:rsidRPr="00771F49" w:rsidRDefault="00B729E0" w:rsidP="00B729E0">
            <w:pPr>
              <w:autoSpaceDE w:val="0"/>
              <w:autoSpaceDN w:val="0"/>
              <w:adjustRightInd w:val="0"/>
              <w:jc w:val="left"/>
              <w:rPr>
                <w:rFonts w:ascii="Calibri" w:hAnsi="Calibri"/>
              </w:rPr>
            </w:pPr>
          </w:p>
          <w:p w14:paraId="1A3F1443" w14:textId="77777777" w:rsidR="00B729E0" w:rsidRPr="00771F49" w:rsidRDefault="00B729E0" w:rsidP="00B729E0">
            <w:pPr>
              <w:autoSpaceDE w:val="0"/>
              <w:autoSpaceDN w:val="0"/>
              <w:adjustRightInd w:val="0"/>
              <w:jc w:val="left"/>
              <w:rPr>
                <w:rFonts w:ascii="Calibri" w:hAnsi="Calibri"/>
              </w:rPr>
            </w:pPr>
          </w:p>
        </w:tc>
      </w:tr>
      <w:tr w:rsidR="00B729E0" w:rsidRPr="00771F49" w14:paraId="4EE3E383" w14:textId="77777777" w:rsidTr="000F49F8">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FDE9D9"/>
            <w:hideMark/>
          </w:tcPr>
          <w:p w14:paraId="6DE10869"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Staffing Levels</w:t>
            </w:r>
          </w:p>
        </w:tc>
        <w:tc>
          <w:tcPr>
            <w:tcW w:w="4819" w:type="dxa"/>
            <w:tcBorders>
              <w:top w:val="single" w:sz="8" w:space="0" w:color="000000"/>
              <w:left w:val="single" w:sz="8" w:space="0" w:color="000000"/>
              <w:bottom w:val="single" w:sz="8" w:space="0" w:color="000000"/>
              <w:right w:val="single" w:sz="8" w:space="0" w:color="000000"/>
            </w:tcBorders>
            <w:shd w:val="clear" w:color="auto" w:fill="FDE9D9"/>
          </w:tcPr>
          <w:p w14:paraId="6D0CA086"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Number of police officers and police staff engaged on Operation Hydrant</w:t>
            </w:r>
          </w:p>
          <w:p w14:paraId="18772E24"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2F31DF7D"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Number of seconded officers by Force</w:t>
            </w:r>
          </w:p>
          <w:p w14:paraId="27579208"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658A0BA7"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Number of Seconded police staff by Force</w:t>
            </w:r>
          </w:p>
          <w:p w14:paraId="7BEE0232"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74D73405"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Resource structure and function (by role).</w:t>
            </w:r>
          </w:p>
        </w:tc>
        <w:tc>
          <w:tcPr>
            <w:tcW w:w="3007" w:type="dxa"/>
            <w:tcBorders>
              <w:top w:val="single" w:sz="8" w:space="0" w:color="000000"/>
              <w:left w:val="single" w:sz="8" w:space="0" w:color="000000"/>
              <w:bottom w:val="single" w:sz="8" w:space="0" w:color="000000"/>
              <w:right w:val="single" w:sz="8" w:space="0" w:color="000000"/>
            </w:tcBorders>
            <w:shd w:val="clear" w:color="auto" w:fill="FDE9D9"/>
            <w:hideMark/>
          </w:tcPr>
          <w:p w14:paraId="7EF38765" w14:textId="77777777" w:rsidR="00B729E0" w:rsidRPr="00771F49" w:rsidRDefault="00B729E0" w:rsidP="00B729E0">
            <w:pPr>
              <w:autoSpaceDE w:val="0"/>
              <w:autoSpaceDN w:val="0"/>
              <w:adjustRightInd w:val="0"/>
              <w:jc w:val="left"/>
              <w:rPr>
                <w:rFonts w:ascii="Calibri" w:hAnsi="Calibri"/>
              </w:rPr>
            </w:pPr>
            <w:r w:rsidRPr="00771F49">
              <w:rPr>
                <w:rFonts w:ascii="Calibri" w:hAnsi="Calibri"/>
              </w:rPr>
              <w:t>Annually at the start of the financial year.</w:t>
            </w:r>
          </w:p>
          <w:p w14:paraId="5F9E16F7" w14:textId="77777777" w:rsidR="00B729E0" w:rsidRPr="00771F49" w:rsidRDefault="00B729E0" w:rsidP="00B729E0">
            <w:pPr>
              <w:autoSpaceDE w:val="0"/>
              <w:autoSpaceDN w:val="0"/>
              <w:adjustRightInd w:val="0"/>
              <w:jc w:val="left"/>
              <w:rPr>
                <w:rFonts w:ascii="Calibri" w:hAnsi="Calibri"/>
              </w:rPr>
            </w:pPr>
          </w:p>
        </w:tc>
      </w:tr>
      <w:tr w:rsidR="00B729E0" w:rsidRPr="00771F49" w14:paraId="66D431D0" w14:textId="77777777" w:rsidTr="000F49F8">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E5DFEC"/>
            <w:hideMark/>
          </w:tcPr>
          <w:p w14:paraId="179BF401"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Strategies, Policies, and Guidance Documents</w:t>
            </w:r>
          </w:p>
        </w:tc>
        <w:tc>
          <w:tcPr>
            <w:tcW w:w="4819" w:type="dxa"/>
            <w:tcBorders>
              <w:top w:val="single" w:sz="8" w:space="0" w:color="000000"/>
              <w:left w:val="single" w:sz="8" w:space="0" w:color="000000"/>
              <w:bottom w:val="single" w:sz="8" w:space="0" w:color="000000"/>
              <w:right w:val="single" w:sz="8" w:space="0" w:color="000000"/>
            </w:tcBorders>
            <w:shd w:val="clear" w:color="auto" w:fill="E5DFEC"/>
          </w:tcPr>
          <w:p w14:paraId="5F8B7C01" w14:textId="6712A737" w:rsidR="00B729E0"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Communications Strategy</w:t>
            </w:r>
          </w:p>
          <w:p w14:paraId="51A5D8EC" w14:textId="627FBDCF" w:rsidR="00FA2036" w:rsidRDefault="00FA2036" w:rsidP="00B729E0">
            <w:pPr>
              <w:autoSpaceDE w:val="0"/>
              <w:autoSpaceDN w:val="0"/>
              <w:adjustRightInd w:val="0"/>
              <w:spacing w:after="0" w:line="240" w:lineRule="auto"/>
              <w:jc w:val="left"/>
              <w:rPr>
                <w:rFonts w:ascii="Calibri" w:eastAsia="Calibri" w:hAnsi="Calibri"/>
                <w:color w:val="000000"/>
                <w:lang w:val="en-US"/>
              </w:rPr>
            </w:pPr>
          </w:p>
          <w:p w14:paraId="59A19380" w14:textId="773AF5D5" w:rsidR="00FA2036" w:rsidRPr="00771F49" w:rsidRDefault="00FA2036" w:rsidP="00B729E0">
            <w:pPr>
              <w:autoSpaceDE w:val="0"/>
              <w:autoSpaceDN w:val="0"/>
              <w:adjustRightInd w:val="0"/>
              <w:spacing w:after="0" w:line="240" w:lineRule="auto"/>
              <w:jc w:val="left"/>
              <w:rPr>
                <w:rFonts w:ascii="Calibri" w:eastAsia="Calibri" w:hAnsi="Calibri"/>
                <w:color w:val="000000"/>
                <w:lang w:val="en-US"/>
              </w:rPr>
            </w:pPr>
            <w:r>
              <w:rPr>
                <w:rFonts w:ascii="Calibri" w:eastAsia="Calibri" w:hAnsi="Calibri"/>
                <w:color w:val="000000"/>
                <w:lang w:val="en-US"/>
              </w:rPr>
              <w:t>SIO Advice</w:t>
            </w:r>
          </w:p>
          <w:p w14:paraId="05212741"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63EBA9E0"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tc>
        <w:tc>
          <w:tcPr>
            <w:tcW w:w="3007" w:type="dxa"/>
            <w:tcBorders>
              <w:top w:val="single" w:sz="8" w:space="0" w:color="000000"/>
              <w:left w:val="single" w:sz="8" w:space="0" w:color="000000"/>
              <w:bottom w:val="single" w:sz="8" w:space="0" w:color="000000"/>
              <w:right w:val="single" w:sz="8" w:space="0" w:color="000000"/>
            </w:tcBorders>
            <w:shd w:val="clear" w:color="auto" w:fill="E5DFEC"/>
            <w:hideMark/>
          </w:tcPr>
          <w:p w14:paraId="15175B27" w14:textId="77777777" w:rsidR="00B729E0" w:rsidRDefault="00B729E0" w:rsidP="00B729E0">
            <w:pPr>
              <w:autoSpaceDE w:val="0"/>
              <w:autoSpaceDN w:val="0"/>
              <w:adjustRightInd w:val="0"/>
              <w:jc w:val="left"/>
              <w:rPr>
                <w:rFonts w:ascii="Calibri" w:hAnsi="Calibri"/>
              </w:rPr>
            </w:pPr>
            <w:r w:rsidRPr="00771F49">
              <w:rPr>
                <w:rFonts w:ascii="Calibri" w:hAnsi="Calibri"/>
              </w:rPr>
              <w:t>Initially and as refreshed.</w:t>
            </w:r>
          </w:p>
          <w:p w14:paraId="62E0D83B" w14:textId="0B888DC4" w:rsidR="00FA2036" w:rsidRPr="00771F49" w:rsidRDefault="00FA2036" w:rsidP="00B729E0">
            <w:pPr>
              <w:autoSpaceDE w:val="0"/>
              <w:autoSpaceDN w:val="0"/>
              <w:adjustRightInd w:val="0"/>
              <w:jc w:val="left"/>
              <w:rPr>
                <w:rFonts w:ascii="Calibri" w:hAnsi="Calibri"/>
              </w:rPr>
            </w:pPr>
            <w:r>
              <w:rPr>
                <w:rFonts w:ascii="Calibri" w:hAnsi="Calibri"/>
              </w:rPr>
              <w:t>College of Policing website</w:t>
            </w:r>
          </w:p>
        </w:tc>
      </w:tr>
      <w:tr w:rsidR="00B729E0" w:rsidRPr="00771F49" w14:paraId="12423BC9" w14:textId="77777777" w:rsidTr="000F49F8">
        <w:trPr>
          <w:trHeight w:val="726"/>
        </w:trPr>
        <w:tc>
          <w:tcPr>
            <w:tcW w:w="2802" w:type="dxa"/>
            <w:tcBorders>
              <w:top w:val="single" w:sz="8" w:space="0" w:color="000000"/>
              <w:left w:val="single" w:sz="8" w:space="0" w:color="000000"/>
              <w:bottom w:val="single" w:sz="8" w:space="0" w:color="000000"/>
              <w:right w:val="single" w:sz="8" w:space="0" w:color="000000"/>
            </w:tcBorders>
            <w:shd w:val="clear" w:color="auto" w:fill="E5DFEC"/>
            <w:hideMark/>
          </w:tcPr>
          <w:p w14:paraId="7587E55B"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 xml:space="preserve">Working documents </w:t>
            </w:r>
          </w:p>
        </w:tc>
        <w:tc>
          <w:tcPr>
            <w:tcW w:w="4819" w:type="dxa"/>
            <w:tcBorders>
              <w:top w:val="single" w:sz="8" w:space="0" w:color="000000"/>
              <w:left w:val="single" w:sz="8" w:space="0" w:color="000000"/>
              <w:bottom w:val="single" w:sz="8" w:space="0" w:color="000000"/>
              <w:right w:val="single" w:sz="8" w:space="0" w:color="000000"/>
            </w:tcBorders>
            <w:shd w:val="clear" w:color="auto" w:fill="E5DFEC"/>
          </w:tcPr>
          <w:p w14:paraId="7976CA5E"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r w:rsidRPr="00771F49">
              <w:rPr>
                <w:rFonts w:ascii="Calibri" w:eastAsia="Calibri" w:hAnsi="Calibri"/>
                <w:color w:val="000000"/>
                <w:lang w:val="en-US"/>
              </w:rPr>
              <w:t>Media Releases</w:t>
            </w:r>
          </w:p>
          <w:p w14:paraId="5D3E7128" w14:textId="77777777" w:rsidR="00B729E0" w:rsidRPr="00771F49" w:rsidRDefault="00B729E0" w:rsidP="00B729E0">
            <w:pPr>
              <w:autoSpaceDE w:val="0"/>
              <w:autoSpaceDN w:val="0"/>
              <w:adjustRightInd w:val="0"/>
              <w:spacing w:after="0" w:line="240" w:lineRule="auto"/>
              <w:jc w:val="left"/>
              <w:rPr>
                <w:rFonts w:ascii="Calibri" w:eastAsia="Calibri" w:hAnsi="Calibri"/>
                <w:color w:val="000000"/>
                <w:lang w:val="en-US"/>
              </w:rPr>
            </w:pPr>
          </w:p>
          <w:p w14:paraId="3F87F2DC" w14:textId="1F4A9F98" w:rsidR="00B729E0" w:rsidRPr="00771F49" w:rsidRDefault="00FA2036" w:rsidP="00B729E0">
            <w:pPr>
              <w:autoSpaceDE w:val="0"/>
              <w:autoSpaceDN w:val="0"/>
              <w:adjustRightInd w:val="0"/>
              <w:spacing w:after="0" w:line="240" w:lineRule="auto"/>
              <w:jc w:val="left"/>
              <w:rPr>
                <w:rFonts w:ascii="Calibri" w:eastAsia="Calibri" w:hAnsi="Calibri"/>
                <w:color w:val="000000"/>
                <w:lang w:val="en-US"/>
              </w:rPr>
            </w:pPr>
            <w:r>
              <w:rPr>
                <w:rFonts w:ascii="Calibri" w:eastAsia="Calibri" w:hAnsi="Calibri"/>
                <w:color w:val="000000"/>
                <w:lang w:val="en-US"/>
              </w:rPr>
              <w:t>Annual Report</w:t>
            </w:r>
          </w:p>
        </w:tc>
        <w:tc>
          <w:tcPr>
            <w:tcW w:w="3007" w:type="dxa"/>
            <w:tcBorders>
              <w:top w:val="single" w:sz="8" w:space="0" w:color="000000"/>
              <w:left w:val="single" w:sz="8" w:space="0" w:color="000000"/>
              <w:bottom w:val="single" w:sz="8" w:space="0" w:color="000000"/>
              <w:right w:val="single" w:sz="8" w:space="0" w:color="000000"/>
            </w:tcBorders>
            <w:shd w:val="clear" w:color="auto" w:fill="E5DFEC"/>
            <w:hideMark/>
          </w:tcPr>
          <w:p w14:paraId="08EC3BA1" w14:textId="77777777" w:rsidR="00B729E0" w:rsidRDefault="00B729E0" w:rsidP="00B729E0">
            <w:pPr>
              <w:autoSpaceDE w:val="0"/>
              <w:autoSpaceDN w:val="0"/>
              <w:adjustRightInd w:val="0"/>
              <w:jc w:val="left"/>
              <w:rPr>
                <w:rFonts w:ascii="Calibri" w:hAnsi="Calibri"/>
              </w:rPr>
            </w:pPr>
            <w:r w:rsidRPr="00771F49">
              <w:rPr>
                <w:rFonts w:ascii="Calibri" w:hAnsi="Calibri"/>
              </w:rPr>
              <w:t>Publish as issued</w:t>
            </w:r>
          </w:p>
          <w:p w14:paraId="5D7CA7E7" w14:textId="6369A603" w:rsidR="00FA2036" w:rsidRPr="00771F49" w:rsidRDefault="00FA2036" w:rsidP="00B729E0">
            <w:pPr>
              <w:autoSpaceDE w:val="0"/>
              <w:autoSpaceDN w:val="0"/>
              <w:adjustRightInd w:val="0"/>
              <w:jc w:val="left"/>
              <w:rPr>
                <w:rFonts w:ascii="Calibri" w:hAnsi="Calibri"/>
              </w:rPr>
            </w:pPr>
            <w:r>
              <w:rPr>
                <w:rFonts w:ascii="Calibri" w:hAnsi="Calibri"/>
              </w:rPr>
              <w:t>Annually as produced</w:t>
            </w:r>
          </w:p>
        </w:tc>
      </w:tr>
    </w:tbl>
    <w:p w14:paraId="11FC52F5" w14:textId="77777777" w:rsidR="00B729E0" w:rsidRPr="00191DC8" w:rsidRDefault="00B729E0" w:rsidP="00487C55">
      <w:pPr>
        <w:spacing w:after="0" w:line="240" w:lineRule="auto"/>
        <w:ind w:right="-154"/>
        <w:jc w:val="both"/>
        <w:rPr>
          <w:rFonts w:ascii="Calibri" w:hAnsi="Calibri" w:cs="Tahoma"/>
          <w:b/>
          <w:color w:val="000000"/>
          <w:kern w:val="24"/>
          <w:sz w:val="28"/>
          <w:szCs w:val="28"/>
          <w:lang w:eastAsia="en-GB"/>
        </w:rPr>
      </w:pPr>
    </w:p>
    <w:p w14:paraId="180738AE" w14:textId="77777777" w:rsidR="005C32C3" w:rsidRPr="004A0F53" w:rsidRDefault="005C32C3" w:rsidP="00487C55">
      <w:pPr>
        <w:spacing w:after="0" w:line="240" w:lineRule="auto"/>
        <w:ind w:right="-154"/>
        <w:jc w:val="both"/>
        <w:rPr>
          <w:rFonts w:ascii="Calibri" w:hAnsi="Calibri" w:cs="Tahoma"/>
          <w:color w:val="000000"/>
          <w:kern w:val="24"/>
          <w:sz w:val="22"/>
          <w:lang w:eastAsia="en-GB"/>
        </w:rPr>
      </w:pPr>
    </w:p>
    <w:p w14:paraId="0FF44FD3" w14:textId="77777777" w:rsidR="00BA2230" w:rsidRDefault="00BA2230" w:rsidP="00487C55">
      <w:pPr>
        <w:spacing w:after="0" w:line="240" w:lineRule="auto"/>
        <w:ind w:right="-154"/>
        <w:jc w:val="both"/>
        <w:rPr>
          <w:rFonts w:ascii="Calibri" w:hAnsi="Calibri" w:cs="Tahoma"/>
          <w:color w:val="000000"/>
          <w:kern w:val="24"/>
          <w:sz w:val="22"/>
          <w:lang w:eastAsia="en-GB"/>
        </w:rPr>
      </w:pPr>
    </w:p>
    <w:p w14:paraId="671A5686" w14:textId="77777777" w:rsidR="00BA2230" w:rsidRDefault="00BA2230" w:rsidP="00487C55">
      <w:pPr>
        <w:spacing w:after="0" w:line="240" w:lineRule="auto"/>
        <w:ind w:right="-154"/>
        <w:jc w:val="both"/>
        <w:rPr>
          <w:rFonts w:ascii="Calibri" w:hAnsi="Calibri" w:cs="Tahoma"/>
          <w:color w:val="000000"/>
          <w:kern w:val="24"/>
          <w:sz w:val="22"/>
          <w:lang w:eastAsia="en-GB"/>
        </w:rPr>
      </w:pPr>
    </w:p>
    <w:p w14:paraId="6E1A1C7D" w14:textId="77777777" w:rsidR="00BA2230" w:rsidRDefault="00BA2230" w:rsidP="00487C55">
      <w:pPr>
        <w:spacing w:after="0" w:line="240" w:lineRule="auto"/>
        <w:ind w:right="-154"/>
        <w:jc w:val="both"/>
        <w:rPr>
          <w:rFonts w:ascii="Calibri" w:hAnsi="Calibri" w:cs="Tahoma"/>
          <w:color w:val="000000"/>
          <w:kern w:val="24"/>
          <w:sz w:val="22"/>
          <w:lang w:eastAsia="en-GB"/>
        </w:rPr>
      </w:pPr>
    </w:p>
    <w:p w14:paraId="4443B5B4" w14:textId="77777777" w:rsidR="00BA2230" w:rsidRDefault="00BA2230" w:rsidP="00487C55">
      <w:pPr>
        <w:spacing w:after="0" w:line="240" w:lineRule="auto"/>
        <w:ind w:right="-154"/>
        <w:jc w:val="both"/>
        <w:rPr>
          <w:rFonts w:ascii="Calibri" w:hAnsi="Calibri" w:cs="Tahoma"/>
          <w:color w:val="000000"/>
          <w:kern w:val="24"/>
          <w:sz w:val="22"/>
          <w:lang w:eastAsia="en-GB"/>
        </w:rPr>
      </w:pPr>
    </w:p>
    <w:p w14:paraId="68161D1C" w14:textId="7AC3CAB0" w:rsidR="005C32C3" w:rsidRDefault="005C32C3" w:rsidP="00487C55">
      <w:pPr>
        <w:spacing w:after="0" w:line="240" w:lineRule="auto"/>
        <w:ind w:right="-154"/>
        <w:jc w:val="both"/>
        <w:rPr>
          <w:rFonts w:ascii="Calibri" w:hAnsi="Calibri" w:cs="Tahoma"/>
          <w:color w:val="000000"/>
          <w:kern w:val="24"/>
          <w:sz w:val="22"/>
          <w:lang w:eastAsia="en-GB"/>
        </w:rPr>
      </w:pPr>
      <w:r>
        <w:rPr>
          <w:rFonts w:ascii="Calibri" w:hAnsi="Calibri" w:cs="Tahoma"/>
          <w:color w:val="000000"/>
          <w:kern w:val="24"/>
          <w:sz w:val="22"/>
          <w:lang w:eastAsia="en-GB"/>
        </w:rPr>
        <w:lastRenderedPageBreak/>
        <w:t xml:space="preserve">It is unlikely that any </w:t>
      </w:r>
      <w:r w:rsidRPr="004A0F53">
        <w:rPr>
          <w:rFonts w:ascii="Calibri" w:hAnsi="Calibri" w:cs="Tahoma"/>
          <w:color w:val="000000"/>
          <w:kern w:val="24"/>
          <w:sz w:val="22"/>
          <w:lang w:eastAsia="en-GB"/>
        </w:rPr>
        <w:t>information will be released under FOIA that would be likely to prejudice</w:t>
      </w:r>
      <w:r>
        <w:rPr>
          <w:rFonts w:ascii="Calibri" w:hAnsi="Calibri" w:cs="Tahoma"/>
          <w:color w:val="000000"/>
          <w:kern w:val="24"/>
          <w:sz w:val="22"/>
          <w:lang w:eastAsia="en-GB"/>
        </w:rPr>
        <w:t xml:space="preserve"> </w:t>
      </w:r>
      <w:r w:rsidRPr="004A0F53">
        <w:rPr>
          <w:rFonts w:ascii="Calibri" w:hAnsi="Calibri" w:cs="Tahoma"/>
          <w:color w:val="000000"/>
          <w:kern w:val="24"/>
          <w:sz w:val="22"/>
          <w:lang w:eastAsia="en-GB"/>
        </w:rPr>
        <w:t xml:space="preserve">ongoing police investigations or </w:t>
      </w:r>
      <w:r>
        <w:rPr>
          <w:rFonts w:ascii="Calibri" w:hAnsi="Calibri" w:cs="Tahoma"/>
          <w:color w:val="000000"/>
          <w:kern w:val="24"/>
          <w:sz w:val="22"/>
          <w:lang w:eastAsia="en-GB"/>
        </w:rPr>
        <w:t xml:space="preserve">cases, or any information </w:t>
      </w:r>
      <w:r w:rsidRPr="004A0F53">
        <w:rPr>
          <w:rFonts w:ascii="Calibri" w:hAnsi="Calibri" w:cs="Tahoma"/>
          <w:color w:val="000000"/>
          <w:kern w:val="24"/>
          <w:sz w:val="22"/>
          <w:lang w:eastAsia="en-GB"/>
        </w:rPr>
        <w:t xml:space="preserve">that would reveal policing tactics or methodology. </w:t>
      </w:r>
      <w:r>
        <w:rPr>
          <w:rFonts w:ascii="Calibri" w:hAnsi="Calibri" w:cs="Tahoma"/>
          <w:color w:val="000000"/>
          <w:kern w:val="24"/>
          <w:sz w:val="22"/>
          <w:lang w:eastAsia="en-GB"/>
        </w:rPr>
        <w:t xml:space="preserve">As a result, </w:t>
      </w:r>
      <w:proofErr w:type="gramStart"/>
      <w:r>
        <w:rPr>
          <w:rFonts w:ascii="Calibri" w:hAnsi="Calibri" w:cs="Tahoma"/>
          <w:color w:val="000000"/>
          <w:kern w:val="24"/>
          <w:sz w:val="22"/>
          <w:lang w:eastAsia="en-GB"/>
        </w:rPr>
        <w:t>a number of</w:t>
      </w:r>
      <w:proofErr w:type="gramEnd"/>
      <w:r>
        <w:rPr>
          <w:rFonts w:ascii="Calibri" w:hAnsi="Calibri" w:cs="Tahoma"/>
          <w:color w:val="000000"/>
          <w:kern w:val="24"/>
          <w:sz w:val="22"/>
          <w:lang w:eastAsia="en-GB"/>
        </w:rPr>
        <w:t xml:space="preserve"> exemptions are likely to be engaged where such disclosures would impact on Section 23 Information supplied by or concerning certain Security Bodies with possible CEOP involvement, Section 30 Investigations, Section 31 Law Enforcement, Section 38 Health &amp; Safety and Section 40 Personal Information. </w:t>
      </w:r>
      <w:r w:rsidRPr="004A0F53">
        <w:rPr>
          <w:rFonts w:ascii="Calibri" w:hAnsi="Calibri" w:cs="Tahoma"/>
          <w:color w:val="000000"/>
          <w:kern w:val="24"/>
          <w:sz w:val="22"/>
          <w:lang w:eastAsia="en-GB"/>
        </w:rPr>
        <w:t xml:space="preserve"> </w:t>
      </w:r>
      <w:r>
        <w:rPr>
          <w:rFonts w:ascii="Calibri" w:hAnsi="Calibri" w:cs="Tahoma"/>
          <w:color w:val="000000"/>
          <w:kern w:val="24"/>
          <w:sz w:val="22"/>
          <w:lang w:eastAsia="en-GB"/>
        </w:rPr>
        <w:t>Careful consideration must also be given to the ‘mosaic’ effect whereby the overlap or linking of strands of information can provide a fuller picture and thereby present an increase in risk.</w:t>
      </w:r>
    </w:p>
    <w:p w14:paraId="3367BA54" w14:textId="77777777" w:rsidR="005C32C3" w:rsidRDefault="005C32C3" w:rsidP="00487C55">
      <w:pPr>
        <w:spacing w:after="0" w:line="240" w:lineRule="auto"/>
        <w:ind w:right="-154"/>
        <w:jc w:val="both"/>
        <w:rPr>
          <w:rFonts w:ascii="Calibri" w:hAnsi="Calibri" w:cs="Tahoma"/>
          <w:color w:val="000000"/>
          <w:kern w:val="24"/>
          <w:sz w:val="22"/>
          <w:lang w:eastAsia="en-GB"/>
        </w:rPr>
      </w:pPr>
    </w:p>
    <w:p w14:paraId="2D63E55C" w14:textId="60799029" w:rsidR="005C32C3" w:rsidRPr="0079729E" w:rsidRDefault="005C32C3" w:rsidP="0079729E">
      <w:pPr>
        <w:spacing w:after="0" w:line="240" w:lineRule="auto"/>
        <w:ind w:right="-154"/>
        <w:jc w:val="both"/>
        <w:rPr>
          <w:rFonts w:ascii="Calibri" w:hAnsi="Calibri" w:cs="Tahoma"/>
          <w:color w:val="000000"/>
          <w:kern w:val="24"/>
          <w:sz w:val="22"/>
          <w:lang w:eastAsia="en-GB"/>
        </w:rPr>
      </w:pPr>
      <w:r>
        <w:rPr>
          <w:rFonts w:ascii="Calibri" w:hAnsi="Calibri" w:cs="Tahoma"/>
          <w:color w:val="000000"/>
          <w:kern w:val="24"/>
          <w:sz w:val="22"/>
          <w:lang w:eastAsia="en-GB"/>
        </w:rPr>
        <w:t>I</w:t>
      </w:r>
      <w:r w:rsidRPr="004A0F53">
        <w:rPr>
          <w:rFonts w:ascii="Calibri" w:hAnsi="Calibri" w:cs="Tahoma"/>
          <w:color w:val="000000"/>
          <w:kern w:val="24"/>
          <w:sz w:val="22"/>
          <w:lang w:eastAsia="en-GB"/>
        </w:rPr>
        <w:t xml:space="preserve">nformation may be disclosed through carefully managed media releases as and when </w:t>
      </w:r>
      <w:proofErr w:type="gramStart"/>
      <w:r w:rsidRPr="004A0F53">
        <w:rPr>
          <w:rFonts w:ascii="Calibri" w:hAnsi="Calibri" w:cs="Tahoma"/>
          <w:color w:val="000000"/>
          <w:kern w:val="24"/>
          <w:sz w:val="22"/>
          <w:lang w:eastAsia="en-GB"/>
        </w:rPr>
        <w:t>necessary</w:t>
      </w:r>
      <w:proofErr w:type="gramEnd"/>
      <w:r>
        <w:rPr>
          <w:rFonts w:ascii="Calibri" w:hAnsi="Calibri" w:cs="Tahoma"/>
          <w:color w:val="000000"/>
          <w:kern w:val="24"/>
          <w:sz w:val="22"/>
          <w:lang w:eastAsia="en-GB"/>
        </w:rPr>
        <w:t xml:space="preserve"> with the approval of the </w:t>
      </w:r>
      <w:r w:rsidR="00581899">
        <w:rPr>
          <w:rFonts w:ascii="Calibri" w:hAnsi="Calibri" w:cs="Tahoma"/>
          <w:color w:val="000000"/>
          <w:kern w:val="24"/>
          <w:sz w:val="22"/>
          <w:lang w:eastAsia="en-GB"/>
        </w:rPr>
        <w:t xml:space="preserve">Hydrant </w:t>
      </w:r>
      <w:r w:rsidR="00BA2230">
        <w:rPr>
          <w:rFonts w:ascii="Calibri" w:hAnsi="Calibri" w:cs="Tahoma"/>
          <w:color w:val="000000"/>
          <w:kern w:val="24"/>
          <w:sz w:val="22"/>
          <w:lang w:eastAsia="en-GB"/>
        </w:rPr>
        <w:t>Programme Head of Communications</w:t>
      </w:r>
      <w:r>
        <w:rPr>
          <w:rFonts w:ascii="Calibri" w:hAnsi="Calibri" w:cs="Tahoma"/>
          <w:color w:val="000000"/>
          <w:kern w:val="24"/>
          <w:sz w:val="22"/>
          <w:lang w:eastAsia="en-GB"/>
        </w:rPr>
        <w:t xml:space="preserve"> and in consultation with the</w:t>
      </w:r>
      <w:r w:rsidR="00BA2230">
        <w:rPr>
          <w:rFonts w:ascii="Calibri" w:hAnsi="Calibri" w:cs="Tahoma"/>
          <w:color w:val="000000"/>
          <w:kern w:val="24"/>
          <w:sz w:val="22"/>
          <w:lang w:eastAsia="en-GB"/>
        </w:rPr>
        <w:t xml:space="preserve"> Director of the</w:t>
      </w:r>
      <w:r w:rsidR="008A649E">
        <w:rPr>
          <w:rFonts w:ascii="Calibri" w:hAnsi="Calibri" w:cs="Tahoma"/>
          <w:color w:val="000000"/>
          <w:kern w:val="24"/>
          <w:sz w:val="22"/>
          <w:lang w:eastAsia="en-GB"/>
        </w:rPr>
        <w:t xml:space="preserve"> </w:t>
      </w:r>
      <w:r w:rsidR="00581899">
        <w:rPr>
          <w:rFonts w:ascii="Calibri" w:hAnsi="Calibri" w:cs="Tahoma"/>
          <w:color w:val="000000"/>
          <w:kern w:val="24"/>
          <w:sz w:val="22"/>
          <w:lang w:eastAsia="en-GB"/>
        </w:rPr>
        <w:t>Hydrant</w:t>
      </w:r>
      <w:r w:rsidR="00BA2230">
        <w:rPr>
          <w:rFonts w:ascii="Calibri" w:hAnsi="Calibri" w:cs="Tahoma"/>
          <w:color w:val="000000"/>
          <w:kern w:val="24"/>
          <w:sz w:val="22"/>
          <w:lang w:eastAsia="en-GB"/>
        </w:rPr>
        <w:t xml:space="preserve"> Programme or his Deputy</w:t>
      </w:r>
      <w:r w:rsidRPr="004A0F53">
        <w:rPr>
          <w:rFonts w:ascii="Calibri" w:hAnsi="Calibri" w:cs="Tahoma"/>
          <w:color w:val="000000"/>
          <w:kern w:val="24"/>
          <w:sz w:val="22"/>
          <w:lang w:eastAsia="en-GB"/>
        </w:rPr>
        <w:t>.</w:t>
      </w:r>
    </w:p>
    <w:p w14:paraId="6C62C0C7" w14:textId="77777777" w:rsidR="005C32C3" w:rsidRDefault="005C32C3" w:rsidP="00A312EE">
      <w:pPr>
        <w:spacing w:after="0" w:line="240" w:lineRule="auto"/>
        <w:ind w:right="-153"/>
        <w:jc w:val="both"/>
        <w:rPr>
          <w:rFonts w:ascii="Calibri" w:hAnsi="Calibri" w:cs="Tahoma"/>
          <w:b/>
          <w:color w:val="000000"/>
          <w:kern w:val="24"/>
          <w:sz w:val="22"/>
          <w:lang w:eastAsia="en-GB"/>
        </w:rPr>
      </w:pPr>
    </w:p>
    <w:p w14:paraId="238A81A3" w14:textId="77777777" w:rsidR="005C32C3" w:rsidRDefault="005C32C3" w:rsidP="00A312EE">
      <w:pPr>
        <w:spacing w:after="0" w:line="240" w:lineRule="auto"/>
        <w:ind w:right="-153"/>
        <w:jc w:val="both"/>
        <w:rPr>
          <w:rFonts w:ascii="Calibri" w:hAnsi="Calibri" w:cs="Tahoma"/>
          <w:b/>
          <w:color w:val="000000"/>
          <w:kern w:val="24"/>
          <w:sz w:val="22"/>
          <w:lang w:eastAsia="en-GB"/>
        </w:rPr>
      </w:pPr>
    </w:p>
    <w:p w14:paraId="139C210F" w14:textId="77777777" w:rsidR="005C32C3" w:rsidRPr="00A312EE" w:rsidRDefault="005C32C3" w:rsidP="00A312EE">
      <w:pPr>
        <w:spacing w:after="0" w:line="240" w:lineRule="auto"/>
        <w:ind w:right="-153"/>
        <w:jc w:val="both"/>
        <w:rPr>
          <w:rFonts w:ascii="Calibri" w:hAnsi="Calibri" w:cs="Tahoma"/>
          <w:b/>
          <w:sz w:val="22"/>
        </w:rPr>
      </w:pPr>
      <w:r>
        <w:rPr>
          <w:rFonts w:ascii="Calibri" w:hAnsi="Calibri" w:cs="Tahoma"/>
          <w:b/>
          <w:sz w:val="22"/>
        </w:rPr>
        <w:br w:type="page"/>
      </w:r>
    </w:p>
    <w:p w14:paraId="67AD03EE" w14:textId="0FB397F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p w14:paraId="737CA63D" w14:textId="7777777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p w14:paraId="296F8A52" w14:textId="7777777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tbl>
      <w:tblPr>
        <w:tblStyle w:val="TableGrid"/>
        <w:tblW w:w="0" w:type="auto"/>
        <w:tblLook w:val="04A0" w:firstRow="1" w:lastRow="0" w:firstColumn="1" w:lastColumn="0" w:noHBand="0" w:noVBand="1"/>
      </w:tblPr>
      <w:tblGrid>
        <w:gridCol w:w="1129"/>
        <w:gridCol w:w="1134"/>
        <w:gridCol w:w="2835"/>
        <w:gridCol w:w="5358"/>
      </w:tblGrid>
      <w:tr w:rsidR="007D282A" w:rsidRPr="007D282A" w14:paraId="559779ED" w14:textId="77777777" w:rsidTr="000D5423">
        <w:tc>
          <w:tcPr>
            <w:tcW w:w="1129" w:type="dxa"/>
          </w:tcPr>
          <w:p w14:paraId="64299899" w14:textId="77777777"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r w:rsidRPr="007D282A">
              <w:rPr>
                <w:rFonts w:ascii="Calibri" w:hAnsi="Calibri" w:cs="Tahoma"/>
                <w:b/>
                <w:sz w:val="22"/>
              </w:rPr>
              <w:t>Version</w:t>
            </w:r>
          </w:p>
        </w:tc>
        <w:tc>
          <w:tcPr>
            <w:tcW w:w="1134" w:type="dxa"/>
          </w:tcPr>
          <w:p w14:paraId="2ACFFFDF" w14:textId="77777777"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r w:rsidRPr="007D282A">
              <w:rPr>
                <w:rFonts w:ascii="Calibri" w:hAnsi="Calibri" w:cs="Tahoma"/>
                <w:b/>
                <w:sz w:val="22"/>
              </w:rPr>
              <w:t>Date</w:t>
            </w:r>
          </w:p>
        </w:tc>
        <w:tc>
          <w:tcPr>
            <w:tcW w:w="2835" w:type="dxa"/>
          </w:tcPr>
          <w:p w14:paraId="0897E322" w14:textId="77777777"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r w:rsidRPr="007D282A">
              <w:rPr>
                <w:rFonts w:ascii="Calibri" w:hAnsi="Calibri" w:cs="Tahoma"/>
                <w:b/>
                <w:sz w:val="22"/>
              </w:rPr>
              <w:t>Authorised by (Name and Position)</w:t>
            </w:r>
          </w:p>
        </w:tc>
        <w:tc>
          <w:tcPr>
            <w:tcW w:w="5358" w:type="dxa"/>
          </w:tcPr>
          <w:p w14:paraId="45F15004" w14:textId="77777777"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r w:rsidRPr="007D282A">
              <w:rPr>
                <w:rFonts w:ascii="Calibri" w:hAnsi="Calibri" w:cs="Tahoma"/>
                <w:b/>
                <w:sz w:val="22"/>
              </w:rPr>
              <w:t>Signature</w:t>
            </w:r>
          </w:p>
        </w:tc>
      </w:tr>
      <w:tr w:rsidR="00420EA9" w:rsidRPr="007D282A" w14:paraId="4831ABD3" w14:textId="77777777" w:rsidTr="000D5423">
        <w:tc>
          <w:tcPr>
            <w:tcW w:w="1129" w:type="dxa"/>
          </w:tcPr>
          <w:p w14:paraId="46D2F548" w14:textId="3499A0DC" w:rsidR="00420EA9"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1</w:t>
            </w:r>
          </w:p>
        </w:tc>
        <w:tc>
          <w:tcPr>
            <w:tcW w:w="1134" w:type="dxa"/>
          </w:tcPr>
          <w:p w14:paraId="2618B675" w14:textId="48430717" w:rsidR="00420EA9"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August 2022</w:t>
            </w:r>
          </w:p>
        </w:tc>
        <w:tc>
          <w:tcPr>
            <w:tcW w:w="2835" w:type="dxa"/>
          </w:tcPr>
          <w:p w14:paraId="452EED0D" w14:textId="77777777" w:rsidR="00420EA9"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DCC Ian Critchley,</w:t>
            </w:r>
          </w:p>
          <w:p w14:paraId="1D1C5E2E" w14:textId="3F379E4E" w:rsidR="00420EA9"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NPCC lead for child protection and abuse investigation</w:t>
            </w:r>
          </w:p>
        </w:tc>
        <w:tc>
          <w:tcPr>
            <w:tcW w:w="5358" w:type="dxa"/>
          </w:tcPr>
          <w:p w14:paraId="6455BC9C" w14:textId="77777777" w:rsidR="00420EA9"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p>
        </w:tc>
      </w:tr>
      <w:tr w:rsidR="007D282A" w:rsidRPr="007D282A" w14:paraId="144D6244" w14:textId="77777777" w:rsidTr="000D5423">
        <w:tc>
          <w:tcPr>
            <w:tcW w:w="1129" w:type="dxa"/>
          </w:tcPr>
          <w:p w14:paraId="2F2D5616" w14:textId="30FA5B2C" w:rsidR="007D282A"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1</w:t>
            </w:r>
          </w:p>
        </w:tc>
        <w:tc>
          <w:tcPr>
            <w:tcW w:w="1134" w:type="dxa"/>
          </w:tcPr>
          <w:p w14:paraId="794C4D6D" w14:textId="2D069306" w:rsidR="007D282A"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August 2022</w:t>
            </w:r>
          </w:p>
        </w:tc>
        <w:tc>
          <w:tcPr>
            <w:tcW w:w="2835" w:type="dxa"/>
          </w:tcPr>
          <w:p w14:paraId="7F433AB7" w14:textId="77777777"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r w:rsidRPr="007D282A">
              <w:rPr>
                <w:rFonts w:ascii="Calibri" w:hAnsi="Calibri" w:cs="Tahoma"/>
                <w:b/>
                <w:sz w:val="22"/>
              </w:rPr>
              <w:t xml:space="preserve">Richard </w:t>
            </w:r>
            <w:proofErr w:type="spellStart"/>
            <w:r w:rsidRPr="007D282A">
              <w:rPr>
                <w:rFonts w:ascii="Calibri" w:hAnsi="Calibri" w:cs="Tahoma"/>
                <w:b/>
                <w:sz w:val="22"/>
              </w:rPr>
              <w:t>Fewkes</w:t>
            </w:r>
            <w:proofErr w:type="spellEnd"/>
            <w:r w:rsidRPr="007D282A">
              <w:rPr>
                <w:rFonts w:ascii="Calibri" w:hAnsi="Calibri" w:cs="Tahoma"/>
                <w:b/>
                <w:sz w:val="22"/>
              </w:rPr>
              <w:t>,</w:t>
            </w:r>
          </w:p>
          <w:p w14:paraId="2C7B038C" w14:textId="77777777" w:rsid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Director,</w:t>
            </w:r>
          </w:p>
          <w:p w14:paraId="4D19CA14" w14:textId="7DF66AA6" w:rsidR="00420EA9"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Hydrant Programme</w:t>
            </w:r>
          </w:p>
        </w:tc>
        <w:tc>
          <w:tcPr>
            <w:tcW w:w="5358" w:type="dxa"/>
          </w:tcPr>
          <w:p w14:paraId="716A4105" w14:textId="03C595AA"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p>
        </w:tc>
      </w:tr>
      <w:tr w:rsidR="007D282A" w:rsidRPr="007D282A" w14:paraId="42A0FB74" w14:textId="77777777" w:rsidTr="000D5423">
        <w:tc>
          <w:tcPr>
            <w:tcW w:w="1129" w:type="dxa"/>
          </w:tcPr>
          <w:p w14:paraId="77BF9182" w14:textId="7DB5FFCD" w:rsidR="007D282A"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1</w:t>
            </w:r>
          </w:p>
        </w:tc>
        <w:tc>
          <w:tcPr>
            <w:tcW w:w="1134" w:type="dxa"/>
          </w:tcPr>
          <w:p w14:paraId="0B3E1B05" w14:textId="3A246A5E" w:rsidR="007D282A"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August 2022</w:t>
            </w:r>
          </w:p>
        </w:tc>
        <w:tc>
          <w:tcPr>
            <w:tcW w:w="2835" w:type="dxa"/>
          </w:tcPr>
          <w:p w14:paraId="689F4CC8" w14:textId="77777777" w:rsidR="007D282A" w:rsidRPr="007D282A" w:rsidRDefault="007D282A" w:rsidP="000D5423">
            <w:pPr>
              <w:overflowPunct w:val="0"/>
              <w:autoSpaceDE w:val="0"/>
              <w:autoSpaceDN w:val="0"/>
              <w:adjustRightInd w:val="0"/>
              <w:spacing w:before="120" w:after="120" w:line="240" w:lineRule="auto"/>
              <w:jc w:val="left"/>
              <w:textAlignment w:val="baseline"/>
              <w:rPr>
                <w:rFonts w:ascii="Calibri" w:hAnsi="Calibri" w:cs="Tahoma"/>
                <w:b/>
                <w:sz w:val="22"/>
              </w:rPr>
            </w:pPr>
            <w:r w:rsidRPr="007D282A">
              <w:rPr>
                <w:rFonts w:ascii="Calibri" w:hAnsi="Calibri" w:cs="Tahoma"/>
                <w:b/>
                <w:sz w:val="22"/>
              </w:rPr>
              <w:t>Jacqui Hanson,</w:t>
            </w:r>
          </w:p>
          <w:p w14:paraId="21F0E055" w14:textId="77777777" w:rsid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Head of Communications,</w:t>
            </w:r>
          </w:p>
          <w:p w14:paraId="425176D0" w14:textId="0957AE47" w:rsidR="00420EA9" w:rsidRPr="007D282A" w:rsidRDefault="00420EA9" w:rsidP="000D5423">
            <w:pPr>
              <w:overflowPunct w:val="0"/>
              <w:autoSpaceDE w:val="0"/>
              <w:autoSpaceDN w:val="0"/>
              <w:adjustRightInd w:val="0"/>
              <w:spacing w:before="120" w:after="120" w:line="240" w:lineRule="auto"/>
              <w:jc w:val="left"/>
              <w:textAlignment w:val="baseline"/>
              <w:rPr>
                <w:rFonts w:ascii="Calibri" w:hAnsi="Calibri" w:cs="Tahoma"/>
                <w:b/>
                <w:sz w:val="22"/>
              </w:rPr>
            </w:pPr>
            <w:r>
              <w:rPr>
                <w:rFonts w:ascii="Calibri" w:hAnsi="Calibri" w:cs="Tahoma"/>
                <w:b/>
                <w:sz w:val="22"/>
              </w:rPr>
              <w:t>Hydrant Programme</w:t>
            </w:r>
          </w:p>
        </w:tc>
        <w:tc>
          <w:tcPr>
            <w:tcW w:w="5358" w:type="dxa"/>
          </w:tcPr>
          <w:p w14:paraId="4A47E174" w14:textId="4E0B5341" w:rsidR="007D282A" w:rsidRPr="007642D3" w:rsidRDefault="007D282A" w:rsidP="000D5423">
            <w:pPr>
              <w:overflowPunct w:val="0"/>
              <w:autoSpaceDE w:val="0"/>
              <w:autoSpaceDN w:val="0"/>
              <w:adjustRightInd w:val="0"/>
              <w:spacing w:before="120" w:after="120" w:line="240" w:lineRule="auto"/>
              <w:jc w:val="left"/>
              <w:textAlignment w:val="baseline"/>
              <w:rPr>
                <w:bCs/>
                <w:i/>
                <w:iCs/>
                <w:sz w:val="32"/>
                <w:szCs w:val="32"/>
              </w:rPr>
            </w:pPr>
          </w:p>
        </w:tc>
      </w:tr>
    </w:tbl>
    <w:p w14:paraId="371A2868" w14:textId="77777777" w:rsidR="005C32C3" w:rsidRPr="007D282A"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p w14:paraId="018CF59A" w14:textId="7777777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p w14:paraId="17B6C3EE" w14:textId="7777777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p w14:paraId="598730AA" w14:textId="7777777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p w14:paraId="3262DFBC" w14:textId="77777777" w:rsidR="005C32C3" w:rsidRPr="004A0F53" w:rsidRDefault="005C32C3" w:rsidP="00E450FA">
      <w:pPr>
        <w:overflowPunct w:val="0"/>
        <w:autoSpaceDE w:val="0"/>
        <w:autoSpaceDN w:val="0"/>
        <w:adjustRightInd w:val="0"/>
        <w:spacing w:before="120" w:after="120" w:line="240" w:lineRule="auto"/>
        <w:jc w:val="left"/>
        <w:textAlignment w:val="baseline"/>
        <w:rPr>
          <w:rFonts w:ascii="Calibri" w:hAnsi="Calibri" w:cs="Tahoma"/>
          <w:b/>
          <w:sz w:val="22"/>
        </w:rPr>
      </w:pPr>
    </w:p>
    <w:sectPr w:rsidR="005C32C3" w:rsidRPr="004A0F53" w:rsidSect="00150298">
      <w:footerReference w:type="default" r:id="rId7"/>
      <w:headerReference w:type="first" r:id="rId8"/>
      <w:footerReference w:type="first" r:id="rId9"/>
      <w:pgSz w:w="11906" w:h="16838" w:code="9"/>
      <w:pgMar w:top="685" w:right="720" w:bottom="720" w:left="720" w:header="709" w:footer="1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79510" w14:textId="77777777" w:rsidR="00CA7DAE" w:rsidRDefault="00CA7DAE" w:rsidP="00180125">
      <w:pPr>
        <w:spacing w:after="0" w:line="240" w:lineRule="auto"/>
      </w:pPr>
      <w:r>
        <w:separator/>
      </w:r>
    </w:p>
  </w:endnote>
  <w:endnote w:type="continuationSeparator" w:id="0">
    <w:p w14:paraId="0DAF139D" w14:textId="77777777" w:rsidR="00CA7DAE" w:rsidRDefault="00CA7DAE" w:rsidP="0018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9074" w14:textId="77777777" w:rsidR="005C32C3" w:rsidRDefault="00D7019A">
    <w:pPr>
      <w:pStyle w:val="Footer"/>
      <w:jc w:val="center"/>
    </w:pPr>
    <w:r>
      <w:fldChar w:fldCharType="begin"/>
    </w:r>
    <w:r>
      <w:instrText xml:space="preserve"> PAGE   \* MERGEFORMAT </w:instrText>
    </w:r>
    <w:r>
      <w:fldChar w:fldCharType="separate"/>
    </w:r>
    <w:r w:rsidR="00EB5EBD">
      <w:rPr>
        <w:noProof/>
      </w:rPr>
      <w:t>7</w:t>
    </w:r>
    <w:r>
      <w:rPr>
        <w:noProof/>
      </w:rPr>
      <w:fldChar w:fldCharType="end"/>
    </w:r>
  </w:p>
  <w:p w14:paraId="472354D5" w14:textId="77777777" w:rsidR="005C32C3" w:rsidRDefault="005C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C10F" w14:textId="77777777" w:rsidR="005C32C3" w:rsidRDefault="005C32C3" w:rsidP="00072D7A">
    <w:pPr>
      <w:pStyle w:val="Footer"/>
      <w:tabs>
        <w:tab w:val="clear" w:pos="9026"/>
        <w:tab w:val="right" w:pos="10320"/>
      </w:tabs>
      <w:jc w:val="center"/>
      <w:rPr>
        <w:rFonts w:ascii="Verdana" w:hAnsi="Verdana"/>
        <w:b/>
        <w:sz w:val="16"/>
        <w:szCs w:val="16"/>
      </w:rPr>
    </w:pPr>
  </w:p>
  <w:p w14:paraId="06283132" w14:textId="77777777" w:rsidR="005C32C3" w:rsidRPr="00150298" w:rsidRDefault="005C32C3" w:rsidP="00072D7A">
    <w:pPr>
      <w:pStyle w:val="Footer"/>
      <w:tabs>
        <w:tab w:val="clear" w:pos="9026"/>
        <w:tab w:val="right" w:pos="10320"/>
      </w:tabs>
      <w:jc w:val="center"/>
      <w:rPr>
        <w:rFonts w:ascii="Calibri" w:hAnsi="Calibri"/>
        <w:b/>
      </w:rPr>
    </w:pPr>
    <w:r w:rsidRPr="00150298">
      <w:rPr>
        <w:rFonts w:ascii="Calibri" w:hAnsi="Calibri"/>
        <w:b/>
      </w:rPr>
      <w:t xml:space="preserve">The National Police Chiefs Council, </w:t>
    </w:r>
    <w:smartTag w:uri="urn:schemas-microsoft-com:office:smarttags" w:element="PostalCode">
      <w:smartTag w:uri="urn:schemas-microsoft-com:office:smarttags" w:element="address">
        <w:smartTag w:uri="urn:schemas-microsoft-com:office:smarttags" w:element="address">
          <w:smartTag w:uri="urn:schemas-microsoft-com:office:smarttags" w:element="Street">
            <w:r w:rsidRPr="00150298">
              <w:rPr>
                <w:rFonts w:ascii="Calibri" w:hAnsi="Calibri"/>
                <w:b/>
              </w:rPr>
              <w:t>10 Victoria Street</w:t>
            </w:r>
          </w:smartTag>
        </w:smartTag>
        <w:r w:rsidRPr="00150298">
          <w:rPr>
            <w:rFonts w:ascii="Calibri" w:hAnsi="Calibri"/>
            <w:b/>
          </w:rPr>
          <w:t xml:space="preserve">, </w:t>
        </w:r>
        <w:smartTag w:uri="urn:schemas-microsoft-com:office:smarttags" w:element="address">
          <w:r w:rsidRPr="00150298">
            <w:rPr>
              <w:rFonts w:ascii="Calibri" w:hAnsi="Calibri"/>
              <w:b/>
            </w:rPr>
            <w:t>London</w:t>
          </w:r>
        </w:smartTag>
        <w:r w:rsidRPr="00150298">
          <w:rPr>
            <w:rFonts w:ascii="Calibri" w:hAnsi="Calibri"/>
            <w:b/>
          </w:rPr>
          <w:t xml:space="preserve"> </w:t>
        </w:r>
        <w:smartTag w:uri="urn:schemas-microsoft-com:office:smarttags" w:element="address">
          <w:r w:rsidRPr="00150298">
            <w:rPr>
              <w:rFonts w:ascii="Calibri" w:hAnsi="Calibri"/>
              <w:b/>
            </w:rPr>
            <w:t>SW1A 0NN</w:t>
          </w:r>
        </w:smartTag>
      </w:smartTag>
    </w:smartTag>
  </w:p>
  <w:p w14:paraId="4EF40F59" w14:textId="77777777" w:rsidR="005C32C3" w:rsidRDefault="00D7019A" w:rsidP="00150298">
    <w:pPr>
      <w:pStyle w:val="Footer"/>
      <w:tabs>
        <w:tab w:val="left" w:pos="4621"/>
      </w:tabs>
      <w:jc w:val="left"/>
    </w:pPr>
    <w:r>
      <w:rPr>
        <w:noProof/>
      </w:rPr>
      <w:drawing>
        <wp:anchor distT="0" distB="0" distL="114300" distR="114300" simplePos="0" relativeHeight="251656192" behindDoc="0" locked="0" layoutInCell="1" allowOverlap="1" wp14:anchorId="6CCB6B1E" wp14:editId="52D94872">
          <wp:simplePos x="0" y="0"/>
          <wp:positionH relativeFrom="column">
            <wp:posOffset>-257810</wp:posOffset>
          </wp:positionH>
          <wp:positionV relativeFrom="paragraph">
            <wp:posOffset>68580</wp:posOffset>
          </wp:positionV>
          <wp:extent cx="7200265" cy="435610"/>
          <wp:effectExtent l="0" t="0" r="0" b="0"/>
          <wp:wrapNone/>
          <wp:docPr id="6" name="Picture 2" descr="NPCC Banner -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CC Banner - Gre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435610"/>
                  </a:xfrm>
                  <a:prstGeom prst="rect">
                    <a:avLst/>
                  </a:prstGeom>
                  <a:noFill/>
                </pic:spPr>
              </pic:pic>
            </a:graphicData>
          </a:graphic>
          <wp14:sizeRelH relativeFrom="page">
            <wp14:pctWidth>0</wp14:pctWidth>
          </wp14:sizeRelH>
          <wp14:sizeRelV relativeFrom="page">
            <wp14:pctHeight>0</wp14:pctHeight>
          </wp14:sizeRelV>
        </wp:anchor>
      </w:drawing>
    </w:r>
    <w:r w:rsidR="005C32C3">
      <w:tab/>
    </w:r>
    <w:r w:rsidR="005C32C3">
      <w:tab/>
    </w:r>
    <w:r w:rsidR="005C32C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6EAD" w14:textId="77777777" w:rsidR="00CA7DAE" w:rsidRDefault="00CA7DAE" w:rsidP="00180125">
      <w:pPr>
        <w:spacing w:after="0" w:line="240" w:lineRule="auto"/>
      </w:pPr>
      <w:r>
        <w:separator/>
      </w:r>
    </w:p>
  </w:footnote>
  <w:footnote w:type="continuationSeparator" w:id="0">
    <w:p w14:paraId="0AC2B472" w14:textId="77777777" w:rsidR="00CA7DAE" w:rsidRDefault="00CA7DAE" w:rsidP="00180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546C" w14:textId="77777777" w:rsidR="005C32C3" w:rsidRPr="00150298" w:rsidRDefault="00D7019A"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Pr>
        <w:noProof/>
        <w:lang w:eastAsia="en-GB"/>
      </w:rPr>
      <w:drawing>
        <wp:anchor distT="0" distB="0" distL="114300" distR="114300" simplePos="0" relativeHeight="251655168" behindDoc="1" locked="0" layoutInCell="1" allowOverlap="1" wp14:anchorId="70873204" wp14:editId="0D96C9E1">
          <wp:simplePos x="0" y="0"/>
          <wp:positionH relativeFrom="column">
            <wp:posOffset>4293235</wp:posOffset>
          </wp:positionH>
          <wp:positionV relativeFrom="paragraph">
            <wp:posOffset>-216535</wp:posOffset>
          </wp:positionV>
          <wp:extent cx="2500630" cy="1084580"/>
          <wp:effectExtent l="0" t="0" r="0" b="0"/>
          <wp:wrapNone/>
          <wp:docPr id="5" name="Picture 3" descr="T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0630" cy="1084580"/>
                  </a:xfrm>
                  <a:prstGeom prst="rect">
                    <a:avLst/>
                  </a:prstGeom>
                  <a:noFill/>
                </pic:spPr>
              </pic:pic>
            </a:graphicData>
          </a:graphic>
          <wp14:sizeRelH relativeFrom="page">
            <wp14:pctWidth>0</wp14:pctWidth>
          </wp14:sizeRelH>
          <wp14:sizeRelV relativeFrom="page">
            <wp14:pctHeight>0</wp14:pctHeight>
          </wp14:sizeRelV>
        </wp:anchor>
      </w:drawing>
    </w:r>
    <w:r w:rsidR="005C32C3" w:rsidRPr="00150298">
      <w:rPr>
        <w:rFonts w:ascii="Calibri" w:hAnsi="Calibri"/>
        <w:b/>
        <w:color w:val="A6A6A6"/>
        <w:sz w:val="16"/>
        <w:szCs w:val="16"/>
      </w:rPr>
      <w:t>Securi</w:t>
    </w:r>
    <w:r w:rsidR="005C32C3">
      <w:rPr>
        <w:rFonts w:ascii="Calibri" w:hAnsi="Calibri"/>
        <w:b/>
        <w:color w:val="A6A6A6"/>
        <w:sz w:val="16"/>
        <w:szCs w:val="16"/>
      </w:rPr>
      <w:t>ty Classification:</w:t>
    </w:r>
    <w:r w:rsidR="005C32C3">
      <w:rPr>
        <w:rFonts w:ascii="Calibri" w:hAnsi="Calibri"/>
        <w:b/>
        <w:color w:val="A6A6A6"/>
        <w:sz w:val="16"/>
        <w:szCs w:val="16"/>
      </w:rPr>
      <w:tab/>
    </w:r>
    <w:r w:rsidR="005C32C3">
      <w:rPr>
        <w:rFonts w:ascii="Calibri" w:hAnsi="Calibri"/>
        <w:b/>
        <w:color w:val="A6A6A6"/>
        <w:sz w:val="16"/>
        <w:szCs w:val="16"/>
      </w:rPr>
      <w:tab/>
    </w:r>
    <w:r w:rsidR="005C32C3">
      <w:rPr>
        <w:rFonts w:ascii="Calibri" w:hAnsi="Calibri"/>
        <w:b/>
        <w:color w:val="A6A6A6"/>
        <w:sz w:val="16"/>
        <w:szCs w:val="16"/>
      </w:rPr>
      <w:tab/>
      <w:t>Not protectively marked</w:t>
    </w:r>
  </w:p>
  <w:p w14:paraId="27B57A45" w14:textId="77777777" w:rsidR="005C32C3" w:rsidRPr="00150298" w:rsidRDefault="005C32C3"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sidRPr="00150298">
      <w:rPr>
        <w:rFonts w:ascii="Calibri" w:hAnsi="Calibri"/>
        <w:b/>
        <w:color w:val="A6A6A6"/>
        <w:sz w:val="16"/>
        <w:szCs w:val="16"/>
      </w:rPr>
      <w:t xml:space="preserve">Disclosable under </w:t>
    </w:r>
    <w:smartTag w:uri="urn:schemas-microsoft-com:office:smarttags" w:element="PersonName">
      <w:r w:rsidRPr="00150298">
        <w:rPr>
          <w:rFonts w:ascii="Calibri" w:hAnsi="Calibri"/>
          <w:b/>
          <w:color w:val="A6A6A6"/>
          <w:sz w:val="16"/>
          <w:szCs w:val="16"/>
        </w:rPr>
        <w:t>FOI</w:t>
      </w:r>
    </w:smartTag>
    <w:r w:rsidRPr="00150298">
      <w:rPr>
        <w:rFonts w:ascii="Calibri" w:hAnsi="Calibri"/>
        <w:b/>
        <w:color w:val="A6A6A6"/>
        <w:sz w:val="16"/>
        <w:szCs w:val="16"/>
      </w:rPr>
      <w:t>A 2000:</w:t>
    </w:r>
    <w:r w:rsidRPr="00150298">
      <w:rPr>
        <w:rFonts w:ascii="Calibri" w:hAnsi="Calibri"/>
        <w:b/>
        <w:color w:val="A6A6A6"/>
        <w:sz w:val="16"/>
        <w:szCs w:val="16"/>
      </w:rPr>
      <w:tab/>
    </w:r>
    <w:r w:rsidRPr="00150298">
      <w:rPr>
        <w:rFonts w:ascii="Calibri" w:hAnsi="Calibri"/>
        <w:b/>
        <w:color w:val="A6A6A6"/>
        <w:sz w:val="16"/>
        <w:szCs w:val="16"/>
      </w:rPr>
      <w:tab/>
    </w:r>
    <w:r>
      <w:rPr>
        <w:rFonts w:ascii="Calibri" w:hAnsi="Calibri"/>
        <w:b/>
        <w:color w:val="A6A6A6"/>
        <w:sz w:val="16"/>
        <w:szCs w:val="16"/>
      </w:rPr>
      <w:tab/>
      <w:t>Yes</w:t>
    </w:r>
  </w:p>
  <w:p w14:paraId="78206408" w14:textId="77777777" w:rsidR="005C32C3" w:rsidRDefault="005C32C3"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sidRPr="00150298">
      <w:rPr>
        <w:rFonts w:ascii="Calibri" w:hAnsi="Calibri"/>
        <w:b/>
        <w:color w:val="A6A6A6"/>
        <w:sz w:val="16"/>
        <w:szCs w:val="16"/>
      </w:rPr>
      <w:t>Force / Organisation:</w:t>
    </w:r>
    <w:r w:rsidRPr="00150298">
      <w:rPr>
        <w:rFonts w:ascii="Calibri" w:hAnsi="Calibri"/>
        <w:b/>
        <w:color w:val="A6A6A6"/>
        <w:sz w:val="16"/>
        <w:szCs w:val="16"/>
      </w:rPr>
      <w:tab/>
    </w:r>
    <w:r w:rsidRPr="00150298">
      <w:rPr>
        <w:rFonts w:ascii="Calibri" w:hAnsi="Calibri"/>
        <w:b/>
        <w:color w:val="A6A6A6"/>
        <w:sz w:val="16"/>
        <w:szCs w:val="16"/>
      </w:rPr>
      <w:tab/>
    </w:r>
    <w:r w:rsidRPr="00150298">
      <w:rPr>
        <w:rFonts w:ascii="Calibri" w:hAnsi="Calibri"/>
        <w:b/>
        <w:color w:val="A6A6A6"/>
        <w:sz w:val="16"/>
        <w:szCs w:val="16"/>
      </w:rPr>
      <w:tab/>
    </w:r>
    <w:r>
      <w:rPr>
        <w:rFonts w:ascii="Calibri" w:hAnsi="Calibri"/>
        <w:b/>
        <w:color w:val="A6A6A6"/>
        <w:sz w:val="16"/>
        <w:szCs w:val="16"/>
      </w:rPr>
      <w:tab/>
      <w:t>NPCC</w:t>
    </w:r>
  </w:p>
  <w:p w14:paraId="0DAA853D" w14:textId="77777777" w:rsidR="005C32C3" w:rsidRPr="00150298" w:rsidRDefault="005C32C3"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Pr>
        <w:rFonts w:ascii="Calibri" w:hAnsi="Calibri"/>
        <w:b/>
        <w:color w:val="A6A6A6"/>
        <w:sz w:val="16"/>
        <w:szCs w:val="16"/>
      </w:rPr>
      <w:t>Author</w:t>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smartTag w:uri="urn:schemas-microsoft-com:office:smarttags" w:element="PersonName">
      <w:r>
        <w:rPr>
          <w:rFonts w:ascii="Calibri" w:hAnsi="Calibri"/>
          <w:b/>
          <w:color w:val="A6A6A6"/>
          <w:sz w:val="16"/>
          <w:szCs w:val="16"/>
        </w:rPr>
        <w:t xml:space="preserve">Sherry </w:t>
      </w:r>
      <w:proofErr w:type="spellStart"/>
      <w:r>
        <w:rPr>
          <w:rFonts w:ascii="Calibri" w:hAnsi="Calibri"/>
          <w:b/>
          <w:color w:val="A6A6A6"/>
          <w:sz w:val="16"/>
          <w:szCs w:val="16"/>
        </w:rPr>
        <w:t>Traquair</w:t>
      </w:r>
    </w:smartTag>
    <w:proofErr w:type="spellEnd"/>
  </w:p>
  <w:p w14:paraId="61C6323A" w14:textId="039D05F2" w:rsidR="005C32C3" w:rsidRPr="00150298" w:rsidRDefault="005C32C3"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Pr>
        <w:rFonts w:ascii="Calibri" w:hAnsi="Calibri"/>
        <w:b/>
        <w:color w:val="A6A6A6"/>
        <w:sz w:val="16"/>
        <w:szCs w:val="16"/>
      </w:rPr>
      <w:t>Date Created:</w:t>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sidR="009F0894">
      <w:rPr>
        <w:rFonts w:ascii="Calibri" w:hAnsi="Calibri"/>
        <w:b/>
        <w:color w:val="A6A6A6"/>
        <w:sz w:val="16"/>
        <w:szCs w:val="16"/>
      </w:rPr>
      <w:t>19 July 2022</w:t>
    </w:r>
  </w:p>
  <w:p w14:paraId="0B81B656" w14:textId="77777777" w:rsidR="005C32C3" w:rsidRPr="00150298" w:rsidRDefault="005C32C3"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Pr>
        <w:rFonts w:ascii="Calibri" w:hAnsi="Calibri"/>
        <w:b/>
        <w:color w:val="A6A6A6"/>
        <w:sz w:val="16"/>
        <w:szCs w:val="16"/>
      </w:rPr>
      <w:t>Telephone:</w:t>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t>02380 478922</w:t>
    </w:r>
  </w:p>
  <w:p w14:paraId="0A3CBDDD" w14:textId="39F9C877" w:rsidR="005C32C3" w:rsidRPr="00150298" w:rsidRDefault="005C32C3"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sidRPr="00150298">
      <w:rPr>
        <w:rFonts w:ascii="Calibri" w:hAnsi="Calibri"/>
        <w:b/>
        <w:color w:val="A6A6A6"/>
        <w:sz w:val="16"/>
        <w:szCs w:val="16"/>
      </w:rPr>
      <w:t>Implem</w:t>
    </w:r>
    <w:r>
      <w:rPr>
        <w:rFonts w:ascii="Calibri" w:hAnsi="Calibri"/>
        <w:b/>
        <w:color w:val="A6A6A6"/>
        <w:sz w:val="16"/>
        <w:szCs w:val="16"/>
      </w:rPr>
      <w:t>entation Date:</w:t>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p>
  <w:p w14:paraId="574C78BD" w14:textId="77777777" w:rsidR="005C32C3" w:rsidRDefault="000F49F8"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Pr>
        <w:rFonts w:ascii="Calibri" w:hAnsi="Calibri"/>
        <w:b/>
        <w:color w:val="A6A6A6"/>
        <w:sz w:val="16"/>
        <w:szCs w:val="16"/>
      </w:rPr>
      <w:t>Review Date:</w:t>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t>Annually</w:t>
    </w:r>
  </w:p>
  <w:p w14:paraId="2BC0C001" w14:textId="4D13EF9E" w:rsidR="000F49F8" w:rsidRDefault="000F49F8" w:rsidP="00FA1111">
    <w:pPr>
      <w:overflowPunct w:val="0"/>
      <w:autoSpaceDE w:val="0"/>
      <w:autoSpaceDN w:val="0"/>
      <w:adjustRightInd w:val="0"/>
      <w:spacing w:after="0" w:line="240" w:lineRule="auto"/>
      <w:jc w:val="left"/>
      <w:textAlignment w:val="baseline"/>
      <w:rPr>
        <w:rFonts w:ascii="Calibri" w:hAnsi="Calibri"/>
        <w:b/>
        <w:color w:val="A6A6A6"/>
        <w:sz w:val="16"/>
        <w:szCs w:val="16"/>
      </w:rPr>
    </w:pPr>
    <w:r>
      <w:rPr>
        <w:rFonts w:ascii="Calibri" w:hAnsi="Calibri"/>
        <w:b/>
        <w:color w:val="A6A6A6"/>
        <w:sz w:val="16"/>
        <w:szCs w:val="16"/>
      </w:rPr>
      <w:t>Las</w:t>
    </w:r>
    <w:r w:rsidR="009F0894">
      <w:rPr>
        <w:rFonts w:ascii="Calibri" w:hAnsi="Calibri"/>
        <w:b/>
        <w:color w:val="A6A6A6"/>
        <w:sz w:val="16"/>
        <w:szCs w:val="16"/>
      </w:rPr>
      <w:t>t</w:t>
    </w:r>
    <w:r>
      <w:rPr>
        <w:rFonts w:ascii="Calibri" w:hAnsi="Calibri"/>
        <w:b/>
        <w:color w:val="A6A6A6"/>
        <w:sz w:val="16"/>
        <w:szCs w:val="16"/>
      </w:rPr>
      <w:t xml:space="preserve"> Reviewed</w:t>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Pr>
        <w:rFonts w:ascii="Calibri" w:hAnsi="Calibri"/>
        <w:b/>
        <w:color w:val="A6A6A6"/>
        <w:sz w:val="16"/>
        <w:szCs w:val="16"/>
      </w:rPr>
      <w:tab/>
    </w:r>
    <w:r w:rsidR="009F0894">
      <w:rPr>
        <w:rFonts w:ascii="Calibri" w:hAnsi="Calibri"/>
        <w:b/>
        <w:color w:val="A6A6A6"/>
        <w:sz w:val="16"/>
        <w:szCs w:val="16"/>
      </w:rPr>
      <w:t>New Document</w:t>
    </w:r>
  </w:p>
  <w:p w14:paraId="1C92BBEF" w14:textId="7756FC0B" w:rsidR="005C32C3" w:rsidRPr="00150298" w:rsidRDefault="005C32C3" w:rsidP="00FA1111">
    <w:pPr>
      <w:overflowPunct w:val="0"/>
      <w:autoSpaceDE w:val="0"/>
      <w:autoSpaceDN w:val="0"/>
      <w:adjustRightInd w:val="0"/>
      <w:spacing w:after="0" w:line="240" w:lineRule="auto"/>
      <w:jc w:val="left"/>
      <w:textAlignment w:val="baseline"/>
      <w:rPr>
        <w:rFonts w:ascii="Calibri" w:hAnsi="Calibri" w:cs="Tahoma"/>
        <w:b/>
        <w:color w:val="A6A6A6"/>
        <w:sz w:val="16"/>
        <w:szCs w:val="16"/>
      </w:rPr>
    </w:pPr>
    <w:r>
      <w:rPr>
        <w:rFonts w:ascii="Calibri" w:hAnsi="Calibri" w:cs="Tahoma"/>
        <w:b/>
        <w:color w:val="A6A6A6"/>
        <w:sz w:val="16"/>
        <w:szCs w:val="16"/>
      </w:rPr>
      <w:t>Authorised by:</w:t>
    </w:r>
    <w:r>
      <w:rPr>
        <w:rFonts w:ascii="Calibri" w:hAnsi="Calibri" w:cs="Tahoma"/>
        <w:b/>
        <w:color w:val="A6A6A6"/>
        <w:sz w:val="16"/>
        <w:szCs w:val="16"/>
      </w:rPr>
      <w:tab/>
    </w:r>
    <w:r>
      <w:rPr>
        <w:rFonts w:ascii="Calibri" w:hAnsi="Calibri" w:cs="Tahoma"/>
        <w:b/>
        <w:color w:val="A6A6A6"/>
        <w:sz w:val="16"/>
        <w:szCs w:val="16"/>
      </w:rPr>
      <w:tab/>
    </w:r>
    <w:r>
      <w:rPr>
        <w:rFonts w:ascii="Calibri" w:hAnsi="Calibri" w:cs="Tahoma"/>
        <w:b/>
        <w:color w:val="A6A6A6"/>
        <w:sz w:val="16"/>
        <w:szCs w:val="16"/>
      </w:rPr>
      <w:tab/>
    </w:r>
    <w:r>
      <w:rPr>
        <w:rFonts w:ascii="Calibri" w:hAnsi="Calibri" w:cs="Tahoma"/>
        <w:b/>
        <w:color w:val="A6A6A6"/>
        <w:sz w:val="16"/>
        <w:szCs w:val="16"/>
      </w:rPr>
      <w:tab/>
    </w:r>
    <w:r w:rsidR="009F0894">
      <w:rPr>
        <w:rFonts w:ascii="Calibri" w:hAnsi="Calibri" w:cs="Tahoma"/>
        <w:b/>
        <w:color w:val="A6A6A6"/>
        <w:sz w:val="16"/>
        <w:szCs w:val="16"/>
      </w:rPr>
      <w:t xml:space="preserve">Deputy </w:t>
    </w:r>
    <w:r>
      <w:rPr>
        <w:rFonts w:ascii="Calibri" w:hAnsi="Calibri" w:cs="Tahoma"/>
        <w:b/>
        <w:color w:val="A6A6A6"/>
        <w:sz w:val="16"/>
        <w:szCs w:val="16"/>
      </w:rPr>
      <w:t xml:space="preserve">Chief Constable </w:t>
    </w:r>
    <w:r w:rsidR="009F0894">
      <w:rPr>
        <w:rFonts w:ascii="Calibri" w:hAnsi="Calibri" w:cs="Tahoma"/>
        <w:b/>
        <w:color w:val="A6A6A6"/>
        <w:sz w:val="16"/>
        <w:szCs w:val="16"/>
      </w:rPr>
      <w:t>Ian Critchley</w:t>
    </w:r>
  </w:p>
  <w:p w14:paraId="444083EF" w14:textId="77777777" w:rsidR="005C32C3" w:rsidRDefault="005C32C3" w:rsidP="00FA1111">
    <w:pPr>
      <w:pStyle w:val="Header"/>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1C14"/>
    <w:multiLevelType w:val="hybridMultilevel"/>
    <w:tmpl w:val="A34E8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415D7"/>
    <w:multiLevelType w:val="hybridMultilevel"/>
    <w:tmpl w:val="0CFE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168FC"/>
    <w:multiLevelType w:val="hybridMultilevel"/>
    <w:tmpl w:val="8C62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07E11"/>
    <w:multiLevelType w:val="hybridMultilevel"/>
    <w:tmpl w:val="3470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E1DB5"/>
    <w:multiLevelType w:val="hybridMultilevel"/>
    <w:tmpl w:val="ADD2F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C32CA6"/>
    <w:multiLevelType w:val="hybridMultilevel"/>
    <w:tmpl w:val="2F2E4760"/>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6" w15:restartNumberingAfterBreak="0">
    <w:nsid w:val="20DD7155"/>
    <w:multiLevelType w:val="hybridMultilevel"/>
    <w:tmpl w:val="26C015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80FD1"/>
    <w:multiLevelType w:val="hybridMultilevel"/>
    <w:tmpl w:val="E63E6D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5F3382"/>
    <w:multiLevelType w:val="hybridMultilevel"/>
    <w:tmpl w:val="8084B3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D24781"/>
    <w:multiLevelType w:val="hybridMultilevel"/>
    <w:tmpl w:val="C6C64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44A06"/>
    <w:multiLevelType w:val="hybridMultilevel"/>
    <w:tmpl w:val="FC20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25F40"/>
    <w:multiLevelType w:val="hybridMultilevel"/>
    <w:tmpl w:val="EC3EB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26C10"/>
    <w:multiLevelType w:val="hybridMultilevel"/>
    <w:tmpl w:val="FB9AE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1123D"/>
    <w:multiLevelType w:val="hybridMultilevel"/>
    <w:tmpl w:val="DF88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16557"/>
    <w:multiLevelType w:val="hybridMultilevel"/>
    <w:tmpl w:val="1504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2661E"/>
    <w:multiLevelType w:val="hybridMultilevel"/>
    <w:tmpl w:val="55447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17294D"/>
    <w:multiLevelType w:val="hybridMultilevel"/>
    <w:tmpl w:val="7610A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87B83"/>
    <w:multiLevelType w:val="hybridMultilevel"/>
    <w:tmpl w:val="23B4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0136E8"/>
    <w:multiLevelType w:val="hybridMultilevel"/>
    <w:tmpl w:val="36746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0"/>
  </w:num>
  <w:num w:numId="4">
    <w:abstractNumId w:val="1"/>
  </w:num>
  <w:num w:numId="5">
    <w:abstractNumId w:val="17"/>
  </w:num>
  <w:num w:numId="6">
    <w:abstractNumId w:val="3"/>
  </w:num>
  <w:num w:numId="7">
    <w:abstractNumId w:val="11"/>
  </w:num>
  <w:num w:numId="8">
    <w:abstractNumId w:val="8"/>
  </w:num>
  <w:num w:numId="9">
    <w:abstractNumId w:val="2"/>
  </w:num>
  <w:num w:numId="10">
    <w:abstractNumId w:val="10"/>
  </w:num>
  <w:num w:numId="11">
    <w:abstractNumId w:val="13"/>
  </w:num>
  <w:num w:numId="12">
    <w:abstractNumId w:val="14"/>
  </w:num>
  <w:num w:numId="13">
    <w:abstractNumId w:val="5"/>
  </w:num>
  <w:num w:numId="14">
    <w:abstractNumId w:val="7"/>
  </w:num>
  <w:num w:numId="15">
    <w:abstractNumId w:val="12"/>
  </w:num>
  <w:num w:numId="16">
    <w:abstractNumId w:val="18"/>
  </w:num>
  <w:num w:numId="17">
    <w:abstractNumId w:val="4"/>
  </w:num>
  <w:num w:numId="18">
    <w:abstractNumId w:val="16"/>
  </w:num>
  <w:num w:numId="1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125"/>
    <w:rsid w:val="00002BB1"/>
    <w:rsid w:val="00016748"/>
    <w:rsid w:val="0003305C"/>
    <w:rsid w:val="000372C4"/>
    <w:rsid w:val="000414D1"/>
    <w:rsid w:val="00046452"/>
    <w:rsid w:val="00062430"/>
    <w:rsid w:val="00072D7A"/>
    <w:rsid w:val="00075D77"/>
    <w:rsid w:val="0009235E"/>
    <w:rsid w:val="00096E70"/>
    <w:rsid w:val="000A264C"/>
    <w:rsid w:val="000A2A2F"/>
    <w:rsid w:val="000A3295"/>
    <w:rsid w:val="000B5AE9"/>
    <w:rsid w:val="000C1F6E"/>
    <w:rsid w:val="000C54DA"/>
    <w:rsid w:val="000D2331"/>
    <w:rsid w:val="000E29EC"/>
    <w:rsid w:val="000E35ED"/>
    <w:rsid w:val="000E3D3D"/>
    <w:rsid w:val="000E745D"/>
    <w:rsid w:val="000F0F3D"/>
    <w:rsid w:val="000F49F8"/>
    <w:rsid w:val="000F4C74"/>
    <w:rsid w:val="000F59BB"/>
    <w:rsid w:val="00102B18"/>
    <w:rsid w:val="00103C59"/>
    <w:rsid w:val="00103F8A"/>
    <w:rsid w:val="001164FD"/>
    <w:rsid w:val="001225B6"/>
    <w:rsid w:val="00123BB4"/>
    <w:rsid w:val="00124C22"/>
    <w:rsid w:val="001255DA"/>
    <w:rsid w:val="00126649"/>
    <w:rsid w:val="00130799"/>
    <w:rsid w:val="00130C7C"/>
    <w:rsid w:val="00136030"/>
    <w:rsid w:val="00136FCF"/>
    <w:rsid w:val="00140A60"/>
    <w:rsid w:val="00146C40"/>
    <w:rsid w:val="0014705C"/>
    <w:rsid w:val="00147293"/>
    <w:rsid w:val="00150298"/>
    <w:rsid w:val="00154466"/>
    <w:rsid w:val="0016006A"/>
    <w:rsid w:val="0016096F"/>
    <w:rsid w:val="00163A23"/>
    <w:rsid w:val="00174420"/>
    <w:rsid w:val="0017460B"/>
    <w:rsid w:val="001777ED"/>
    <w:rsid w:val="00180125"/>
    <w:rsid w:val="001857FE"/>
    <w:rsid w:val="00190E5D"/>
    <w:rsid w:val="00191DC8"/>
    <w:rsid w:val="0019346E"/>
    <w:rsid w:val="00196EAB"/>
    <w:rsid w:val="001A13D9"/>
    <w:rsid w:val="001B2958"/>
    <w:rsid w:val="001B6708"/>
    <w:rsid w:val="001C0AF2"/>
    <w:rsid w:val="001C41A4"/>
    <w:rsid w:val="001C6DAB"/>
    <w:rsid w:val="001D2DAA"/>
    <w:rsid w:val="001D3FA9"/>
    <w:rsid w:val="001D52BA"/>
    <w:rsid w:val="001F1FD1"/>
    <w:rsid w:val="001F6695"/>
    <w:rsid w:val="0020176A"/>
    <w:rsid w:val="002030F1"/>
    <w:rsid w:val="002031A0"/>
    <w:rsid w:val="00221E3F"/>
    <w:rsid w:val="002240E8"/>
    <w:rsid w:val="00230813"/>
    <w:rsid w:val="00234AFE"/>
    <w:rsid w:val="002362EE"/>
    <w:rsid w:val="00237ED7"/>
    <w:rsid w:val="00246D17"/>
    <w:rsid w:val="00247B74"/>
    <w:rsid w:val="00283437"/>
    <w:rsid w:val="0028459D"/>
    <w:rsid w:val="0028629A"/>
    <w:rsid w:val="00287201"/>
    <w:rsid w:val="002907EB"/>
    <w:rsid w:val="00290E4E"/>
    <w:rsid w:val="002A2CA2"/>
    <w:rsid w:val="002A4985"/>
    <w:rsid w:val="002B769E"/>
    <w:rsid w:val="002C1EA4"/>
    <w:rsid w:val="002D7868"/>
    <w:rsid w:val="002E220F"/>
    <w:rsid w:val="002E3742"/>
    <w:rsid w:val="002E48E0"/>
    <w:rsid w:val="002E568F"/>
    <w:rsid w:val="002E5A4F"/>
    <w:rsid w:val="0030086D"/>
    <w:rsid w:val="003030C2"/>
    <w:rsid w:val="00305DFE"/>
    <w:rsid w:val="00306A8F"/>
    <w:rsid w:val="003078F6"/>
    <w:rsid w:val="003105B0"/>
    <w:rsid w:val="00313740"/>
    <w:rsid w:val="00316307"/>
    <w:rsid w:val="00316570"/>
    <w:rsid w:val="003176B3"/>
    <w:rsid w:val="00324252"/>
    <w:rsid w:val="0034378A"/>
    <w:rsid w:val="003445D9"/>
    <w:rsid w:val="00350900"/>
    <w:rsid w:val="00351C77"/>
    <w:rsid w:val="00360BA5"/>
    <w:rsid w:val="00363F58"/>
    <w:rsid w:val="00367563"/>
    <w:rsid w:val="003916DB"/>
    <w:rsid w:val="003938DD"/>
    <w:rsid w:val="00396131"/>
    <w:rsid w:val="003A2B2A"/>
    <w:rsid w:val="003B206A"/>
    <w:rsid w:val="003C6F19"/>
    <w:rsid w:val="003C7701"/>
    <w:rsid w:val="003F43DB"/>
    <w:rsid w:val="003F6437"/>
    <w:rsid w:val="00405096"/>
    <w:rsid w:val="00411884"/>
    <w:rsid w:val="00413E39"/>
    <w:rsid w:val="004166BD"/>
    <w:rsid w:val="00416C64"/>
    <w:rsid w:val="00417D51"/>
    <w:rsid w:val="00420EA9"/>
    <w:rsid w:val="0042385B"/>
    <w:rsid w:val="00431EEE"/>
    <w:rsid w:val="00435D71"/>
    <w:rsid w:val="00436138"/>
    <w:rsid w:val="00446011"/>
    <w:rsid w:val="0045006C"/>
    <w:rsid w:val="0045460D"/>
    <w:rsid w:val="004559AA"/>
    <w:rsid w:val="00456172"/>
    <w:rsid w:val="00464690"/>
    <w:rsid w:val="004655C2"/>
    <w:rsid w:val="00471BC6"/>
    <w:rsid w:val="0048180C"/>
    <w:rsid w:val="00481A6F"/>
    <w:rsid w:val="0048413E"/>
    <w:rsid w:val="00485F3C"/>
    <w:rsid w:val="00487C55"/>
    <w:rsid w:val="004972F0"/>
    <w:rsid w:val="004A0F53"/>
    <w:rsid w:val="004A6D68"/>
    <w:rsid w:val="004B6F41"/>
    <w:rsid w:val="004C3703"/>
    <w:rsid w:val="004E3163"/>
    <w:rsid w:val="004E57B9"/>
    <w:rsid w:val="004E6D14"/>
    <w:rsid w:val="004E71C1"/>
    <w:rsid w:val="004F3421"/>
    <w:rsid w:val="004F5063"/>
    <w:rsid w:val="004F5E68"/>
    <w:rsid w:val="004F7CB1"/>
    <w:rsid w:val="00504CAF"/>
    <w:rsid w:val="00516B44"/>
    <w:rsid w:val="00527AE3"/>
    <w:rsid w:val="00530A89"/>
    <w:rsid w:val="00533D85"/>
    <w:rsid w:val="0053710F"/>
    <w:rsid w:val="00542AEF"/>
    <w:rsid w:val="00544FD3"/>
    <w:rsid w:val="0054617F"/>
    <w:rsid w:val="00551CAE"/>
    <w:rsid w:val="0055394D"/>
    <w:rsid w:val="00554CB6"/>
    <w:rsid w:val="00560C55"/>
    <w:rsid w:val="00561FD9"/>
    <w:rsid w:val="00571B6C"/>
    <w:rsid w:val="005730F2"/>
    <w:rsid w:val="005739F0"/>
    <w:rsid w:val="00576B45"/>
    <w:rsid w:val="00581899"/>
    <w:rsid w:val="00587013"/>
    <w:rsid w:val="0059479B"/>
    <w:rsid w:val="00595CA8"/>
    <w:rsid w:val="00597878"/>
    <w:rsid w:val="005A6528"/>
    <w:rsid w:val="005C32C3"/>
    <w:rsid w:val="005C4E05"/>
    <w:rsid w:val="005C5051"/>
    <w:rsid w:val="005C65BD"/>
    <w:rsid w:val="005D60A9"/>
    <w:rsid w:val="005E1EFA"/>
    <w:rsid w:val="005E4ACE"/>
    <w:rsid w:val="005E599B"/>
    <w:rsid w:val="005F0B34"/>
    <w:rsid w:val="005F24B7"/>
    <w:rsid w:val="005F61F3"/>
    <w:rsid w:val="005F7485"/>
    <w:rsid w:val="00603C7E"/>
    <w:rsid w:val="00616BCA"/>
    <w:rsid w:val="0062574D"/>
    <w:rsid w:val="006466E7"/>
    <w:rsid w:val="00646F0A"/>
    <w:rsid w:val="00651E40"/>
    <w:rsid w:val="00653B81"/>
    <w:rsid w:val="00657944"/>
    <w:rsid w:val="00661708"/>
    <w:rsid w:val="006656C8"/>
    <w:rsid w:val="0067261F"/>
    <w:rsid w:val="006737BA"/>
    <w:rsid w:val="00674BB2"/>
    <w:rsid w:val="00683B8D"/>
    <w:rsid w:val="00686CBD"/>
    <w:rsid w:val="00690820"/>
    <w:rsid w:val="006924AE"/>
    <w:rsid w:val="006953D0"/>
    <w:rsid w:val="006A42E9"/>
    <w:rsid w:val="006B1557"/>
    <w:rsid w:val="006B237B"/>
    <w:rsid w:val="006C76F4"/>
    <w:rsid w:val="006E6225"/>
    <w:rsid w:val="006E6F98"/>
    <w:rsid w:val="006F1C03"/>
    <w:rsid w:val="006F4091"/>
    <w:rsid w:val="00720520"/>
    <w:rsid w:val="00722293"/>
    <w:rsid w:val="007301DD"/>
    <w:rsid w:val="00732665"/>
    <w:rsid w:val="00743B93"/>
    <w:rsid w:val="007462DC"/>
    <w:rsid w:val="0075355A"/>
    <w:rsid w:val="0075773A"/>
    <w:rsid w:val="00762365"/>
    <w:rsid w:val="007642D3"/>
    <w:rsid w:val="00765847"/>
    <w:rsid w:val="00766AFB"/>
    <w:rsid w:val="00772094"/>
    <w:rsid w:val="00773852"/>
    <w:rsid w:val="00776CBE"/>
    <w:rsid w:val="007814CF"/>
    <w:rsid w:val="0078495E"/>
    <w:rsid w:val="00784ECE"/>
    <w:rsid w:val="0078565B"/>
    <w:rsid w:val="00792B06"/>
    <w:rsid w:val="00794093"/>
    <w:rsid w:val="00796E4E"/>
    <w:rsid w:val="0079729E"/>
    <w:rsid w:val="007A3EF0"/>
    <w:rsid w:val="007B23B0"/>
    <w:rsid w:val="007C53E6"/>
    <w:rsid w:val="007C6DA4"/>
    <w:rsid w:val="007D282A"/>
    <w:rsid w:val="007D4F79"/>
    <w:rsid w:val="007D7007"/>
    <w:rsid w:val="007F353F"/>
    <w:rsid w:val="007F3FF7"/>
    <w:rsid w:val="007F4512"/>
    <w:rsid w:val="007F72D5"/>
    <w:rsid w:val="0082149B"/>
    <w:rsid w:val="00836EDD"/>
    <w:rsid w:val="008571EB"/>
    <w:rsid w:val="0086126F"/>
    <w:rsid w:val="00862118"/>
    <w:rsid w:val="00866399"/>
    <w:rsid w:val="00866410"/>
    <w:rsid w:val="00866B10"/>
    <w:rsid w:val="0087400C"/>
    <w:rsid w:val="00875133"/>
    <w:rsid w:val="00875D3D"/>
    <w:rsid w:val="00891EF9"/>
    <w:rsid w:val="008920AA"/>
    <w:rsid w:val="00896756"/>
    <w:rsid w:val="00897AB4"/>
    <w:rsid w:val="008A19C8"/>
    <w:rsid w:val="008A2360"/>
    <w:rsid w:val="008A36E0"/>
    <w:rsid w:val="008A649E"/>
    <w:rsid w:val="008B0E08"/>
    <w:rsid w:val="008B3FD6"/>
    <w:rsid w:val="008B5D8D"/>
    <w:rsid w:val="008B749D"/>
    <w:rsid w:val="008C257E"/>
    <w:rsid w:val="008C62B4"/>
    <w:rsid w:val="008D3B85"/>
    <w:rsid w:val="008D3D04"/>
    <w:rsid w:val="008D64D8"/>
    <w:rsid w:val="008D676C"/>
    <w:rsid w:val="008F0F64"/>
    <w:rsid w:val="008F2879"/>
    <w:rsid w:val="00901A3E"/>
    <w:rsid w:val="009143C8"/>
    <w:rsid w:val="00920D0E"/>
    <w:rsid w:val="00925E98"/>
    <w:rsid w:val="00926140"/>
    <w:rsid w:val="009362A5"/>
    <w:rsid w:val="00937CE9"/>
    <w:rsid w:val="00941186"/>
    <w:rsid w:val="00950719"/>
    <w:rsid w:val="0096042E"/>
    <w:rsid w:val="00961D2C"/>
    <w:rsid w:val="009622A9"/>
    <w:rsid w:val="00962ABA"/>
    <w:rsid w:val="00962E7E"/>
    <w:rsid w:val="00963606"/>
    <w:rsid w:val="00963E68"/>
    <w:rsid w:val="00970505"/>
    <w:rsid w:val="009706CE"/>
    <w:rsid w:val="009707B6"/>
    <w:rsid w:val="00980CDA"/>
    <w:rsid w:val="00981339"/>
    <w:rsid w:val="009848DF"/>
    <w:rsid w:val="009878C5"/>
    <w:rsid w:val="00987970"/>
    <w:rsid w:val="009900F7"/>
    <w:rsid w:val="009A0E6C"/>
    <w:rsid w:val="009B5FF5"/>
    <w:rsid w:val="009B6B3C"/>
    <w:rsid w:val="009C0437"/>
    <w:rsid w:val="009D2E1C"/>
    <w:rsid w:val="009D3EDD"/>
    <w:rsid w:val="009E2062"/>
    <w:rsid w:val="009F0894"/>
    <w:rsid w:val="009F4552"/>
    <w:rsid w:val="009F4B66"/>
    <w:rsid w:val="00A018B4"/>
    <w:rsid w:val="00A122AF"/>
    <w:rsid w:val="00A12E22"/>
    <w:rsid w:val="00A144C7"/>
    <w:rsid w:val="00A1553A"/>
    <w:rsid w:val="00A26DD0"/>
    <w:rsid w:val="00A30894"/>
    <w:rsid w:val="00A312EE"/>
    <w:rsid w:val="00A316FB"/>
    <w:rsid w:val="00A32946"/>
    <w:rsid w:val="00A33169"/>
    <w:rsid w:val="00A360E4"/>
    <w:rsid w:val="00A361FF"/>
    <w:rsid w:val="00A43E8C"/>
    <w:rsid w:val="00A46DB3"/>
    <w:rsid w:val="00A50B87"/>
    <w:rsid w:val="00A6320C"/>
    <w:rsid w:val="00A806C9"/>
    <w:rsid w:val="00A80AD4"/>
    <w:rsid w:val="00A852BD"/>
    <w:rsid w:val="00A8640F"/>
    <w:rsid w:val="00AB25D1"/>
    <w:rsid w:val="00AB7F9E"/>
    <w:rsid w:val="00AC0BBF"/>
    <w:rsid w:val="00AC4C03"/>
    <w:rsid w:val="00AC4C76"/>
    <w:rsid w:val="00AC74EA"/>
    <w:rsid w:val="00AC7F10"/>
    <w:rsid w:val="00AD7B31"/>
    <w:rsid w:val="00AE2790"/>
    <w:rsid w:val="00AE2FC3"/>
    <w:rsid w:val="00AE4CA8"/>
    <w:rsid w:val="00AE6E56"/>
    <w:rsid w:val="00AF4AFA"/>
    <w:rsid w:val="00B008F7"/>
    <w:rsid w:val="00B052BC"/>
    <w:rsid w:val="00B05F29"/>
    <w:rsid w:val="00B10A8C"/>
    <w:rsid w:val="00B117E5"/>
    <w:rsid w:val="00B15FA0"/>
    <w:rsid w:val="00B17EE4"/>
    <w:rsid w:val="00B20CC3"/>
    <w:rsid w:val="00B21A6B"/>
    <w:rsid w:val="00B42055"/>
    <w:rsid w:val="00B45FAB"/>
    <w:rsid w:val="00B506BD"/>
    <w:rsid w:val="00B514F5"/>
    <w:rsid w:val="00B540C4"/>
    <w:rsid w:val="00B56502"/>
    <w:rsid w:val="00B67B6E"/>
    <w:rsid w:val="00B729E0"/>
    <w:rsid w:val="00B74B9B"/>
    <w:rsid w:val="00B757F6"/>
    <w:rsid w:val="00B85613"/>
    <w:rsid w:val="00BA2230"/>
    <w:rsid w:val="00BB02C6"/>
    <w:rsid w:val="00BC4183"/>
    <w:rsid w:val="00BE529F"/>
    <w:rsid w:val="00BE5B46"/>
    <w:rsid w:val="00BF0D5E"/>
    <w:rsid w:val="00BF22C7"/>
    <w:rsid w:val="00BF31F7"/>
    <w:rsid w:val="00BF6AA3"/>
    <w:rsid w:val="00C1420E"/>
    <w:rsid w:val="00C17EAF"/>
    <w:rsid w:val="00C17F67"/>
    <w:rsid w:val="00C3145A"/>
    <w:rsid w:val="00C32620"/>
    <w:rsid w:val="00C32E17"/>
    <w:rsid w:val="00C43D80"/>
    <w:rsid w:val="00C658E8"/>
    <w:rsid w:val="00C66405"/>
    <w:rsid w:val="00C7130E"/>
    <w:rsid w:val="00C7341C"/>
    <w:rsid w:val="00C74C2B"/>
    <w:rsid w:val="00C77DFF"/>
    <w:rsid w:val="00C830F4"/>
    <w:rsid w:val="00C8359E"/>
    <w:rsid w:val="00C86F23"/>
    <w:rsid w:val="00C9243E"/>
    <w:rsid w:val="00C92FD4"/>
    <w:rsid w:val="00C97955"/>
    <w:rsid w:val="00CA268C"/>
    <w:rsid w:val="00CA42F9"/>
    <w:rsid w:val="00CA7DAD"/>
    <w:rsid w:val="00CA7DAE"/>
    <w:rsid w:val="00CB1725"/>
    <w:rsid w:val="00CB4108"/>
    <w:rsid w:val="00CC0DB5"/>
    <w:rsid w:val="00CC28C8"/>
    <w:rsid w:val="00CC3EDA"/>
    <w:rsid w:val="00CD0386"/>
    <w:rsid w:val="00CD1B9B"/>
    <w:rsid w:val="00CD1C3D"/>
    <w:rsid w:val="00CD33FC"/>
    <w:rsid w:val="00CD457F"/>
    <w:rsid w:val="00CD7E6A"/>
    <w:rsid w:val="00CE0D6E"/>
    <w:rsid w:val="00CE3F4B"/>
    <w:rsid w:val="00CE4EBC"/>
    <w:rsid w:val="00CE57BA"/>
    <w:rsid w:val="00CF6C4E"/>
    <w:rsid w:val="00D00388"/>
    <w:rsid w:val="00D0484A"/>
    <w:rsid w:val="00D141DD"/>
    <w:rsid w:val="00D204F5"/>
    <w:rsid w:val="00D26EF0"/>
    <w:rsid w:val="00D33BA4"/>
    <w:rsid w:val="00D459C0"/>
    <w:rsid w:val="00D52957"/>
    <w:rsid w:val="00D56639"/>
    <w:rsid w:val="00D61B8C"/>
    <w:rsid w:val="00D7019A"/>
    <w:rsid w:val="00D71B75"/>
    <w:rsid w:val="00D728BE"/>
    <w:rsid w:val="00D72B9C"/>
    <w:rsid w:val="00D8240D"/>
    <w:rsid w:val="00D90AC4"/>
    <w:rsid w:val="00D92FFE"/>
    <w:rsid w:val="00D932B4"/>
    <w:rsid w:val="00D95FD6"/>
    <w:rsid w:val="00D967E4"/>
    <w:rsid w:val="00DA7B93"/>
    <w:rsid w:val="00DB71DC"/>
    <w:rsid w:val="00DC7D23"/>
    <w:rsid w:val="00DD574F"/>
    <w:rsid w:val="00DE7BD5"/>
    <w:rsid w:val="00DF690E"/>
    <w:rsid w:val="00E2690D"/>
    <w:rsid w:val="00E3348C"/>
    <w:rsid w:val="00E416E8"/>
    <w:rsid w:val="00E450FA"/>
    <w:rsid w:val="00E61473"/>
    <w:rsid w:val="00E80043"/>
    <w:rsid w:val="00E80754"/>
    <w:rsid w:val="00EB02D6"/>
    <w:rsid w:val="00EB4A59"/>
    <w:rsid w:val="00EB5EBD"/>
    <w:rsid w:val="00EB6953"/>
    <w:rsid w:val="00ED0D81"/>
    <w:rsid w:val="00EF520B"/>
    <w:rsid w:val="00EF73D1"/>
    <w:rsid w:val="00F00CC2"/>
    <w:rsid w:val="00F03B8C"/>
    <w:rsid w:val="00F13826"/>
    <w:rsid w:val="00F227C9"/>
    <w:rsid w:val="00F241DD"/>
    <w:rsid w:val="00F35F48"/>
    <w:rsid w:val="00F503F1"/>
    <w:rsid w:val="00F56698"/>
    <w:rsid w:val="00F7177C"/>
    <w:rsid w:val="00F71F97"/>
    <w:rsid w:val="00F77007"/>
    <w:rsid w:val="00F81620"/>
    <w:rsid w:val="00F81DF0"/>
    <w:rsid w:val="00F8666F"/>
    <w:rsid w:val="00F9152B"/>
    <w:rsid w:val="00F94775"/>
    <w:rsid w:val="00FA1111"/>
    <w:rsid w:val="00FA2036"/>
    <w:rsid w:val="00FA33FA"/>
    <w:rsid w:val="00FB3606"/>
    <w:rsid w:val="00FC077C"/>
    <w:rsid w:val="00FC2E9F"/>
    <w:rsid w:val="00FD48A8"/>
    <w:rsid w:val="00FF6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24577"/>
    <o:shapelayout v:ext="edit">
      <o:idmap v:ext="edit" data="1"/>
    </o:shapelayout>
  </w:shapeDefaults>
  <w:decimalSymbol w:val="."/>
  <w:listSeparator w:val=","/>
  <w14:docId w14:val="16E6D6A1"/>
  <w15:docId w15:val="{3FCCE53C-8F6A-46EC-BAAA-40D90F6F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75"/>
    <w:pPr>
      <w:spacing w:after="200" w:line="276" w:lineRule="auto"/>
      <w:jc w:val="right"/>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80125"/>
    <w:pPr>
      <w:tabs>
        <w:tab w:val="center" w:pos="4513"/>
        <w:tab w:val="right" w:pos="9026"/>
      </w:tabs>
      <w:spacing w:after="0" w:line="240" w:lineRule="auto"/>
    </w:pPr>
    <w:rPr>
      <w:rFonts w:eastAsia="Calibri" w:cs="Times New Roman"/>
      <w:sz w:val="20"/>
      <w:szCs w:val="20"/>
      <w:lang w:eastAsia="en-GB"/>
    </w:rPr>
  </w:style>
  <w:style w:type="character" w:customStyle="1" w:styleId="HeaderChar">
    <w:name w:val="Header Char"/>
    <w:basedOn w:val="DefaultParagraphFont"/>
    <w:link w:val="Header"/>
    <w:uiPriority w:val="99"/>
    <w:semiHidden/>
    <w:locked/>
    <w:rsid w:val="00180125"/>
    <w:rPr>
      <w:rFonts w:cs="Times New Roman"/>
    </w:rPr>
  </w:style>
  <w:style w:type="paragraph" w:styleId="Footer">
    <w:name w:val="footer"/>
    <w:basedOn w:val="Normal"/>
    <w:link w:val="FooterChar"/>
    <w:uiPriority w:val="99"/>
    <w:rsid w:val="00180125"/>
    <w:pPr>
      <w:tabs>
        <w:tab w:val="center" w:pos="4513"/>
        <w:tab w:val="right" w:pos="9026"/>
      </w:tabs>
      <w:spacing w:after="0" w:line="240" w:lineRule="auto"/>
    </w:pPr>
    <w:rPr>
      <w:rFonts w:eastAsia="Calibri" w:cs="Times New Roman"/>
      <w:sz w:val="20"/>
      <w:szCs w:val="20"/>
      <w:lang w:eastAsia="en-GB"/>
    </w:rPr>
  </w:style>
  <w:style w:type="character" w:customStyle="1" w:styleId="FooterChar">
    <w:name w:val="Footer Char"/>
    <w:basedOn w:val="DefaultParagraphFont"/>
    <w:link w:val="Footer"/>
    <w:uiPriority w:val="99"/>
    <w:locked/>
    <w:rsid w:val="00180125"/>
    <w:rPr>
      <w:rFonts w:cs="Times New Roman"/>
    </w:rPr>
  </w:style>
  <w:style w:type="paragraph" w:styleId="BalloonText">
    <w:name w:val="Balloon Text"/>
    <w:basedOn w:val="Normal"/>
    <w:link w:val="BalloonTextChar"/>
    <w:uiPriority w:val="99"/>
    <w:semiHidden/>
    <w:rsid w:val="00180125"/>
    <w:pPr>
      <w:spacing w:after="0" w:line="240" w:lineRule="auto"/>
    </w:pPr>
    <w:rPr>
      <w:rFonts w:ascii="Tahoma" w:eastAsia="Calibri" w:hAnsi="Tahoma" w:cs="Times New Roman"/>
      <w:sz w:val="16"/>
      <w:szCs w:val="16"/>
      <w:lang w:eastAsia="en-GB"/>
    </w:rPr>
  </w:style>
  <w:style w:type="character" w:customStyle="1" w:styleId="BalloonTextChar">
    <w:name w:val="Balloon Text Char"/>
    <w:basedOn w:val="DefaultParagraphFont"/>
    <w:link w:val="BalloonText"/>
    <w:uiPriority w:val="99"/>
    <w:semiHidden/>
    <w:locked/>
    <w:rsid w:val="00180125"/>
    <w:rPr>
      <w:rFonts w:ascii="Tahoma" w:hAnsi="Tahoma" w:cs="Times New Roman"/>
      <w:sz w:val="16"/>
    </w:rPr>
  </w:style>
  <w:style w:type="paragraph" w:styleId="NormalWeb">
    <w:name w:val="Normal (Web)"/>
    <w:basedOn w:val="Normal"/>
    <w:uiPriority w:val="99"/>
    <w:rsid w:val="00F227C9"/>
    <w:pPr>
      <w:spacing w:before="100" w:beforeAutospacing="1" w:after="100" w:afterAutospacing="1" w:line="240" w:lineRule="auto"/>
      <w:jc w:val="left"/>
    </w:pPr>
    <w:rPr>
      <w:rFonts w:ascii="Times New Roman" w:hAnsi="Times New Roman" w:cs="Times New Roman"/>
      <w:szCs w:val="24"/>
      <w:lang w:eastAsia="en-GB"/>
    </w:rPr>
  </w:style>
  <w:style w:type="paragraph" w:styleId="ListParagraph">
    <w:name w:val="List Paragraph"/>
    <w:basedOn w:val="Normal"/>
    <w:uiPriority w:val="99"/>
    <w:qFormat/>
    <w:rsid w:val="00F227C9"/>
    <w:pPr>
      <w:spacing w:after="0" w:line="240" w:lineRule="auto"/>
      <w:ind w:left="720"/>
      <w:contextualSpacing/>
      <w:jc w:val="left"/>
    </w:pPr>
    <w:rPr>
      <w:rFonts w:ascii="Times New Roman" w:hAnsi="Times New Roman" w:cs="Times New Roman"/>
      <w:szCs w:val="24"/>
      <w:lang w:eastAsia="en-GB"/>
    </w:rPr>
  </w:style>
  <w:style w:type="character" w:styleId="CommentReference">
    <w:name w:val="annotation reference"/>
    <w:basedOn w:val="DefaultParagraphFont"/>
    <w:uiPriority w:val="99"/>
    <w:rsid w:val="0028459D"/>
    <w:rPr>
      <w:rFonts w:cs="Times New Roman"/>
      <w:sz w:val="16"/>
    </w:rPr>
  </w:style>
  <w:style w:type="paragraph" w:styleId="CommentText">
    <w:name w:val="annotation text"/>
    <w:basedOn w:val="Normal"/>
    <w:link w:val="CommentTextChar"/>
    <w:uiPriority w:val="99"/>
    <w:rsid w:val="0028459D"/>
    <w:rPr>
      <w:rFonts w:cs="Times New Roman"/>
      <w:sz w:val="20"/>
      <w:szCs w:val="20"/>
    </w:rPr>
  </w:style>
  <w:style w:type="character" w:customStyle="1" w:styleId="CommentTextChar">
    <w:name w:val="Comment Text Char"/>
    <w:basedOn w:val="DefaultParagraphFont"/>
    <w:link w:val="CommentText"/>
    <w:uiPriority w:val="99"/>
    <w:locked/>
    <w:rsid w:val="0028459D"/>
    <w:rPr>
      <w:rFonts w:eastAsia="Times New Roman" w:cs="Times New Roman"/>
      <w:lang w:eastAsia="en-US"/>
    </w:rPr>
  </w:style>
  <w:style w:type="paragraph" w:styleId="CommentSubject">
    <w:name w:val="annotation subject"/>
    <w:basedOn w:val="CommentText"/>
    <w:next w:val="CommentText"/>
    <w:link w:val="CommentSubjectChar"/>
    <w:uiPriority w:val="99"/>
    <w:rsid w:val="0028459D"/>
    <w:rPr>
      <w:b/>
      <w:bCs/>
    </w:rPr>
  </w:style>
  <w:style w:type="character" w:customStyle="1" w:styleId="CommentSubjectChar">
    <w:name w:val="Comment Subject Char"/>
    <w:basedOn w:val="CommentTextChar"/>
    <w:link w:val="CommentSubject"/>
    <w:uiPriority w:val="99"/>
    <w:locked/>
    <w:rsid w:val="0028459D"/>
    <w:rPr>
      <w:rFonts w:eastAsia="Times New Roman" w:cs="Times New Roman"/>
      <w:b/>
      <w:lang w:eastAsia="en-US"/>
    </w:rPr>
  </w:style>
  <w:style w:type="character" w:styleId="Hyperlink">
    <w:name w:val="Hyperlink"/>
    <w:basedOn w:val="DefaultParagraphFont"/>
    <w:uiPriority w:val="99"/>
    <w:rsid w:val="00CD33FC"/>
    <w:rPr>
      <w:rFonts w:cs="Times New Roman"/>
      <w:color w:val="0000FF"/>
      <w:u w:val="single"/>
    </w:rPr>
  </w:style>
  <w:style w:type="paragraph" w:customStyle="1" w:styleId="Default">
    <w:name w:val="Default"/>
    <w:uiPriority w:val="99"/>
    <w:rsid w:val="00CD1B9B"/>
    <w:pPr>
      <w:autoSpaceDE w:val="0"/>
      <w:autoSpaceDN w:val="0"/>
      <w:adjustRightInd w:val="0"/>
    </w:pPr>
    <w:rPr>
      <w:color w:val="000000"/>
      <w:sz w:val="24"/>
      <w:szCs w:val="24"/>
      <w:lang w:val="en-US" w:eastAsia="en-US"/>
    </w:rPr>
  </w:style>
  <w:style w:type="character" w:styleId="FollowedHyperlink">
    <w:name w:val="FollowedHyperlink"/>
    <w:basedOn w:val="DefaultParagraphFont"/>
    <w:uiPriority w:val="99"/>
    <w:rsid w:val="00E416E8"/>
    <w:rPr>
      <w:rFonts w:cs="Times New Roman"/>
      <w:color w:val="606420"/>
      <w:u w:val="single"/>
    </w:rPr>
  </w:style>
  <w:style w:type="table" w:styleId="TableGrid">
    <w:name w:val="Table Grid"/>
    <w:basedOn w:val="TableNormal"/>
    <w:locked/>
    <w:rsid w:val="00EB5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7616">
      <w:marLeft w:val="0"/>
      <w:marRight w:val="0"/>
      <w:marTop w:val="0"/>
      <w:marBottom w:val="0"/>
      <w:divBdr>
        <w:top w:val="none" w:sz="0" w:space="0" w:color="auto"/>
        <w:left w:val="none" w:sz="0" w:space="0" w:color="auto"/>
        <w:bottom w:val="none" w:sz="0" w:space="0" w:color="auto"/>
        <w:right w:val="none" w:sz="0" w:space="0" w:color="auto"/>
      </w:divBdr>
    </w:div>
    <w:div w:id="517887617">
      <w:marLeft w:val="0"/>
      <w:marRight w:val="0"/>
      <w:marTop w:val="0"/>
      <w:marBottom w:val="0"/>
      <w:divBdr>
        <w:top w:val="none" w:sz="0" w:space="0" w:color="auto"/>
        <w:left w:val="none" w:sz="0" w:space="0" w:color="auto"/>
        <w:bottom w:val="none" w:sz="0" w:space="0" w:color="auto"/>
        <w:right w:val="none" w:sz="0" w:space="0" w:color="auto"/>
      </w:divBdr>
      <w:divsChild>
        <w:div w:id="517887619">
          <w:marLeft w:val="446"/>
          <w:marRight w:val="0"/>
          <w:marTop w:val="120"/>
          <w:marBottom w:val="60"/>
          <w:divBdr>
            <w:top w:val="none" w:sz="0" w:space="0" w:color="auto"/>
            <w:left w:val="none" w:sz="0" w:space="0" w:color="auto"/>
            <w:bottom w:val="none" w:sz="0" w:space="0" w:color="auto"/>
            <w:right w:val="none" w:sz="0" w:space="0" w:color="auto"/>
          </w:divBdr>
        </w:div>
        <w:div w:id="517887632">
          <w:marLeft w:val="446"/>
          <w:marRight w:val="0"/>
          <w:marTop w:val="120"/>
          <w:marBottom w:val="60"/>
          <w:divBdr>
            <w:top w:val="none" w:sz="0" w:space="0" w:color="auto"/>
            <w:left w:val="none" w:sz="0" w:space="0" w:color="auto"/>
            <w:bottom w:val="none" w:sz="0" w:space="0" w:color="auto"/>
            <w:right w:val="none" w:sz="0" w:space="0" w:color="auto"/>
          </w:divBdr>
        </w:div>
        <w:div w:id="517887640">
          <w:marLeft w:val="446"/>
          <w:marRight w:val="0"/>
          <w:marTop w:val="120"/>
          <w:marBottom w:val="60"/>
          <w:divBdr>
            <w:top w:val="none" w:sz="0" w:space="0" w:color="auto"/>
            <w:left w:val="none" w:sz="0" w:space="0" w:color="auto"/>
            <w:bottom w:val="none" w:sz="0" w:space="0" w:color="auto"/>
            <w:right w:val="none" w:sz="0" w:space="0" w:color="auto"/>
          </w:divBdr>
        </w:div>
        <w:div w:id="517887653">
          <w:marLeft w:val="446"/>
          <w:marRight w:val="0"/>
          <w:marTop w:val="120"/>
          <w:marBottom w:val="60"/>
          <w:divBdr>
            <w:top w:val="none" w:sz="0" w:space="0" w:color="auto"/>
            <w:left w:val="none" w:sz="0" w:space="0" w:color="auto"/>
            <w:bottom w:val="none" w:sz="0" w:space="0" w:color="auto"/>
            <w:right w:val="none" w:sz="0" w:space="0" w:color="auto"/>
          </w:divBdr>
        </w:div>
        <w:div w:id="517887655">
          <w:marLeft w:val="446"/>
          <w:marRight w:val="0"/>
          <w:marTop w:val="120"/>
          <w:marBottom w:val="60"/>
          <w:divBdr>
            <w:top w:val="none" w:sz="0" w:space="0" w:color="auto"/>
            <w:left w:val="none" w:sz="0" w:space="0" w:color="auto"/>
            <w:bottom w:val="none" w:sz="0" w:space="0" w:color="auto"/>
            <w:right w:val="none" w:sz="0" w:space="0" w:color="auto"/>
          </w:divBdr>
        </w:div>
        <w:div w:id="517887662">
          <w:marLeft w:val="446"/>
          <w:marRight w:val="0"/>
          <w:marTop w:val="120"/>
          <w:marBottom w:val="60"/>
          <w:divBdr>
            <w:top w:val="none" w:sz="0" w:space="0" w:color="auto"/>
            <w:left w:val="none" w:sz="0" w:space="0" w:color="auto"/>
            <w:bottom w:val="none" w:sz="0" w:space="0" w:color="auto"/>
            <w:right w:val="none" w:sz="0" w:space="0" w:color="auto"/>
          </w:divBdr>
        </w:div>
        <w:div w:id="517887663">
          <w:marLeft w:val="446"/>
          <w:marRight w:val="0"/>
          <w:marTop w:val="120"/>
          <w:marBottom w:val="60"/>
          <w:divBdr>
            <w:top w:val="none" w:sz="0" w:space="0" w:color="auto"/>
            <w:left w:val="none" w:sz="0" w:space="0" w:color="auto"/>
            <w:bottom w:val="none" w:sz="0" w:space="0" w:color="auto"/>
            <w:right w:val="none" w:sz="0" w:space="0" w:color="auto"/>
          </w:divBdr>
        </w:div>
      </w:divsChild>
    </w:div>
    <w:div w:id="517887618">
      <w:marLeft w:val="0"/>
      <w:marRight w:val="0"/>
      <w:marTop w:val="0"/>
      <w:marBottom w:val="0"/>
      <w:divBdr>
        <w:top w:val="none" w:sz="0" w:space="0" w:color="auto"/>
        <w:left w:val="none" w:sz="0" w:space="0" w:color="auto"/>
        <w:bottom w:val="none" w:sz="0" w:space="0" w:color="auto"/>
        <w:right w:val="none" w:sz="0" w:space="0" w:color="auto"/>
      </w:divBdr>
    </w:div>
    <w:div w:id="517887624">
      <w:marLeft w:val="0"/>
      <w:marRight w:val="0"/>
      <w:marTop w:val="0"/>
      <w:marBottom w:val="0"/>
      <w:divBdr>
        <w:top w:val="none" w:sz="0" w:space="0" w:color="auto"/>
        <w:left w:val="none" w:sz="0" w:space="0" w:color="auto"/>
        <w:bottom w:val="none" w:sz="0" w:space="0" w:color="auto"/>
        <w:right w:val="none" w:sz="0" w:space="0" w:color="auto"/>
      </w:divBdr>
    </w:div>
    <w:div w:id="517887626">
      <w:marLeft w:val="0"/>
      <w:marRight w:val="0"/>
      <w:marTop w:val="0"/>
      <w:marBottom w:val="0"/>
      <w:divBdr>
        <w:top w:val="none" w:sz="0" w:space="0" w:color="auto"/>
        <w:left w:val="none" w:sz="0" w:space="0" w:color="auto"/>
        <w:bottom w:val="none" w:sz="0" w:space="0" w:color="auto"/>
        <w:right w:val="none" w:sz="0" w:space="0" w:color="auto"/>
      </w:divBdr>
    </w:div>
    <w:div w:id="517887629">
      <w:marLeft w:val="0"/>
      <w:marRight w:val="0"/>
      <w:marTop w:val="0"/>
      <w:marBottom w:val="0"/>
      <w:divBdr>
        <w:top w:val="none" w:sz="0" w:space="0" w:color="auto"/>
        <w:left w:val="none" w:sz="0" w:space="0" w:color="auto"/>
        <w:bottom w:val="none" w:sz="0" w:space="0" w:color="auto"/>
        <w:right w:val="none" w:sz="0" w:space="0" w:color="auto"/>
      </w:divBdr>
      <w:divsChild>
        <w:div w:id="517887627">
          <w:marLeft w:val="403"/>
          <w:marRight w:val="0"/>
          <w:marTop w:val="120"/>
          <w:marBottom w:val="0"/>
          <w:divBdr>
            <w:top w:val="none" w:sz="0" w:space="0" w:color="auto"/>
            <w:left w:val="none" w:sz="0" w:space="0" w:color="auto"/>
            <w:bottom w:val="none" w:sz="0" w:space="0" w:color="auto"/>
            <w:right w:val="none" w:sz="0" w:space="0" w:color="auto"/>
          </w:divBdr>
        </w:div>
        <w:div w:id="517887628">
          <w:marLeft w:val="403"/>
          <w:marRight w:val="0"/>
          <w:marTop w:val="120"/>
          <w:marBottom w:val="0"/>
          <w:divBdr>
            <w:top w:val="none" w:sz="0" w:space="0" w:color="auto"/>
            <w:left w:val="none" w:sz="0" w:space="0" w:color="auto"/>
            <w:bottom w:val="none" w:sz="0" w:space="0" w:color="auto"/>
            <w:right w:val="none" w:sz="0" w:space="0" w:color="auto"/>
          </w:divBdr>
        </w:div>
        <w:div w:id="517887631">
          <w:marLeft w:val="878"/>
          <w:marRight w:val="0"/>
          <w:marTop w:val="120"/>
          <w:marBottom w:val="0"/>
          <w:divBdr>
            <w:top w:val="none" w:sz="0" w:space="0" w:color="auto"/>
            <w:left w:val="none" w:sz="0" w:space="0" w:color="auto"/>
            <w:bottom w:val="none" w:sz="0" w:space="0" w:color="auto"/>
            <w:right w:val="none" w:sz="0" w:space="0" w:color="auto"/>
          </w:divBdr>
        </w:div>
        <w:div w:id="517887634">
          <w:marLeft w:val="403"/>
          <w:marRight w:val="0"/>
          <w:marTop w:val="120"/>
          <w:marBottom w:val="0"/>
          <w:divBdr>
            <w:top w:val="none" w:sz="0" w:space="0" w:color="auto"/>
            <w:left w:val="none" w:sz="0" w:space="0" w:color="auto"/>
            <w:bottom w:val="none" w:sz="0" w:space="0" w:color="auto"/>
            <w:right w:val="none" w:sz="0" w:space="0" w:color="auto"/>
          </w:divBdr>
        </w:div>
        <w:div w:id="517887639">
          <w:marLeft w:val="878"/>
          <w:marRight w:val="0"/>
          <w:marTop w:val="120"/>
          <w:marBottom w:val="0"/>
          <w:divBdr>
            <w:top w:val="none" w:sz="0" w:space="0" w:color="auto"/>
            <w:left w:val="none" w:sz="0" w:space="0" w:color="auto"/>
            <w:bottom w:val="none" w:sz="0" w:space="0" w:color="auto"/>
            <w:right w:val="none" w:sz="0" w:space="0" w:color="auto"/>
          </w:divBdr>
        </w:div>
        <w:div w:id="517887654">
          <w:marLeft w:val="878"/>
          <w:marRight w:val="0"/>
          <w:marTop w:val="120"/>
          <w:marBottom w:val="0"/>
          <w:divBdr>
            <w:top w:val="none" w:sz="0" w:space="0" w:color="auto"/>
            <w:left w:val="none" w:sz="0" w:space="0" w:color="auto"/>
            <w:bottom w:val="none" w:sz="0" w:space="0" w:color="auto"/>
            <w:right w:val="none" w:sz="0" w:space="0" w:color="auto"/>
          </w:divBdr>
        </w:div>
        <w:div w:id="517887656">
          <w:marLeft w:val="878"/>
          <w:marRight w:val="0"/>
          <w:marTop w:val="120"/>
          <w:marBottom w:val="0"/>
          <w:divBdr>
            <w:top w:val="none" w:sz="0" w:space="0" w:color="auto"/>
            <w:left w:val="none" w:sz="0" w:space="0" w:color="auto"/>
            <w:bottom w:val="none" w:sz="0" w:space="0" w:color="auto"/>
            <w:right w:val="none" w:sz="0" w:space="0" w:color="auto"/>
          </w:divBdr>
        </w:div>
        <w:div w:id="517887657">
          <w:marLeft w:val="878"/>
          <w:marRight w:val="0"/>
          <w:marTop w:val="120"/>
          <w:marBottom w:val="0"/>
          <w:divBdr>
            <w:top w:val="none" w:sz="0" w:space="0" w:color="auto"/>
            <w:left w:val="none" w:sz="0" w:space="0" w:color="auto"/>
            <w:bottom w:val="none" w:sz="0" w:space="0" w:color="auto"/>
            <w:right w:val="none" w:sz="0" w:space="0" w:color="auto"/>
          </w:divBdr>
        </w:div>
      </w:divsChild>
    </w:div>
    <w:div w:id="517887630">
      <w:marLeft w:val="0"/>
      <w:marRight w:val="0"/>
      <w:marTop w:val="0"/>
      <w:marBottom w:val="0"/>
      <w:divBdr>
        <w:top w:val="none" w:sz="0" w:space="0" w:color="auto"/>
        <w:left w:val="none" w:sz="0" w:space="0" w:color="auto"/>
        <w:bottom w:val="none" w:sz="0" w:space="0" w:color="auto"/>
        <w:right w:val="none" w:sz="0" w:space="0" w:color="auto"/>
      </w:divBdr>
    </w:div>
    <w:div w:id="517887635">
      <w:marLeft w:val="0"/>
      <w:marRight w:val="0"/>
      <w:marTop w:val="0"/>
      <w:marBottom w:val="0"/>
      <w:divBdr>
        <w:top w:val="none" w:sz="0" w:space="0" w:color="auto"/>
        <w:left w:val="none" w:sz="0" w:space="0" w:color="auto"/>
        <w:bottom w:val="none" w:sz="0" w:space="0" w:color="auto"/>
        <w:right w:val="none" w:sz="0" w:space="0" w:color="auto"/>
      </w:divBdr>
    </w:div>
    <w:div w:id="517887641">
      <w:marLeft w:val="0"/>
      <w:marRight w:val="0"/>
      <w:marTop w:val="0"/>
      <w:marBottom w:val="0"/>
      <w:divBdr>
        <w:top w:val="none" w:sz="0" w:space="0" w:color="auto"/>
        <w:left w:val="none" w:sz="0" w:space="0" w:color="auto"/>
        <w:bottom w:val="none" w:sz="0" w:space="0" w:color="auto"/>
        <w:right w:val="none" w:sz="0" w:space="0" w:color="auto"/>
      </w:divBdr>
      <w:divsChild>
        <w:div w:id="517887650">
          <w:marLeft w:val="360"/>
          <w:marRight w:val="0"/>
          <w:marTop w:val="200"/>
          <w:marBottom w:val="0"/>
          <w:divBdr>
            <w:top w:val="none" w:sz="0" w:space="0" w:color="auto"/>
            <w:left w:val="none" w:sz="0" w:space="0" w:color="auto"/>
            <w:bottom w:val="none" w:sz="0" w:space="0" w:color="auto"/>
            <w:right w:val="none" w:sz="0" w:space="0" w:color="auto"/>
          </w:divBdr>
        </w:div>
        <w:div w:id="517887652">
          <w:marLeft w:val="360"/>
          <w:marRight w:val="0"/>
          <w:marTop w:val="200"/>
          <w:marBottom w:val="0"/>
          <w:divBdr>
            <w:top w:val="none" w:sz="0" w:space="0" w:color="auto"/>
            <w:left w:val="none" w:sz="0" w:space="0" w:color="auto"/>
            <w:bottom w:val="none" w:sz="0" w:space="0" w:color="auto"/>
            <w:right w:val="none" w:sz="0" w:space="0" w:color="auto"/>
          </w:divBdr>
        </w:div>
        <w:div w:id="517887666">
          <w:marLeft w:val="360"/>
          <w:marRight w:val="0"/>
          <w:marTop w:val="200"/>
          <w:marBottom w:val="0"/>
          <w:divBdr>
            <w:top w:val="none" w:sz="0" w:space="0" w:color="auto"/>
            <w:left w:val="none" w:sz="0" w:space="0" w:color="auto"/>
            <w:bottom w:val="none" w:sz="0" w:space="0" w:color="auto"/>
            <w:right w:val="none" w:sz="0" w:space="0" w:color="auto"/>
          </w:divBdr>
        </w:div>
      </w:divsChild>
    </w:div>
    <w:div w:id="517887643">
      <w:marLeft w:val="0"/>
      <w:marRight w:val="0"/>
      <w:marTop w:val="0"/>
      <w:marBottom w:val="0"/>
      <w:divBdr>
        <w:top w:val="none" w:sz="0" w:space="0" w:color="auto"/>
        <w:left w:val="none" w:sz="0" w:space="0" w:color="auto"/>
        <w:bottom w:val="none" w:sz="0" w:space="0" w:color="auto"/>
        <w:right w:val="none" w:sz="0" w:space="0" w:color="auto"/>
      </w:divBdr>
      <w:divsChild>
        <w:div w:id="517887645">
          <w:marLeft w:val="446"/>
          <w:marRight w:val="0"/>
          <w:marTop w:val="120"/>
          <w:marBottom w:val="0"/>
          <w:divBdr>
            <w:top w:val="none" w:sz="0" w:space="0" w:color="auto"/>
            <w:left w:val="none" w:sz="0" w:space="0" w:color="auto"/>
            <w:bottom w:val="none" w:sz="0" w:space="0" w:color="auto"/>
            <w:right w:val="none" w:sz="0" w:space="0" w:color="auto"/>
          </w:divBdr>
        </w:div>
        <w:div w:id="517887659">
          <w:marLeft w:val="446"/>
          <w:marRight w:val="0"/>
          <w:marTop w:val="120"/>
          <w:marBottom w:val="0"/>
          <w:divBdr>
            <w:top w:val="none" w:sz="0" w:space="0" w:color="auto"/>
            <w:left w:val="none" w:sz="0" w:space="0" w:color="auto"/>
            <w:bottom w:val="none" w:sz="0" w:space="0" w:color="auto"/>
            <w:right w:val="none" w:sz="0" w:space="0" w:color="auto"/>
          </w:divBdr>
        </w:div>
        <w:div w:id="517887665">
          <w:marLeft w:val="446"/>
          <w:marRight w:val="0"/>
          <w:marTop w:val="120"/>
          <w:marBottom w:val="0"/>
          <w:divBdr>
            <w:top w:val="none" w:sz="0" w:space="0" w:color="auto"/>
            <w:left w:val="none" w:sz="0" w:space="0" w:color="auto"/>
            <w:bottom w:val="none" w:sz="0" w:space="0" w:color="auto"/>
            <w:right w:val="none" w:sz="0" w:space="0" w:color="auto"/>
          </w:divBdr>
        </w:div>
        <w:div w:id="517887669">
          <w:marLeft w:val="446"/>
          <w:marRight w:val="0"/>
          <w:marTop w:val="120"/>
          <w:marBottom w:val="0"/>
          <w:divBdr>
            <w:top w:val="none" w:sz="0" w:space="0" w:color="auto"/>
            <w:left w:val="none" w:sz="0" w:space="0" w:color="auto"/>
            <w:bottom w:val="none" w:sz="0" w:space="0" w:color="auto"/>
            <w:right w:val="none" w:sz="0" w:space="0" w:color="auto"/>
          </w:divBdr>
        </w:div>
        <w:div w:id="517887670">
          <w:marLeft w:val="446"/>
          <w:marRight w:val="0"/>
          <w:marTop w:val="120"/>
          <w:marBottom w:val="0"/>
          <w:divBdr>
            <w:top w:val="none" w:sz="0" w:space="0" w:color="auto"/>
            <w:left w:val="none" w:sz="0" w:space="0" w:color="auto"/>
            <w:bottom w:val="none" w:sz="0" w:space="0" w:color="auto"/>
            <w:right w:val="none" w:sz="0" w:space="0" w:color="auto"/>
          </w:divBdr>
        </w:div>
      </w:divsChild>
    </w:div>
    <w:div w:id="517887644">
      <w:marLeft w:val="0"/>
      <w:marRight w:val="0"/>
      <w:marTop w:val="0"/>
      <w:marBottom w:val="0"/>
      <w:divBdr>
        <w:top w:val="none" w:sz="0" w:space="0" w:color="auto"/>
        <w:left w:val="none" w:sz="0" w:space="0" w:color="auto"/>
        <w:bottom w:val="none" w:sz="0" w:space="0" w:color="auto"/>
        <w:right w:val="none" w:sz="0" w:space="0" w:color="auto"/>
      </w:divBdr>
    </w:div>
    <w:div w:id="517887646">
      <w:marLeft w:val="0"/>
      <w:marRight w:val="0"/>
      <w:marTop w:val="0"/>
      <w:marBottom w:val="0"/>
      <w:divBdr>
        <w:top w:val="none" w:sz="0" w:space="0" w:color="auto"/>
        <w:left w:val="none" w:sz="0" w:space="0" w:color="auto"/>
        <w:bottom w:val="none" w:sz="0" w:space="0" w:color="auto"/>
        <w:right w:val="none" w:sz="0" w:space="0" w:color="auto"/>
      </w:divBdr>
      <w:divsChild>
        <w:div w:id="517887636">
          <w:marLeft w:val="0"/>
          <w:marRight w:val="0"/>
          <w:marTop w:val="0"/>
          <w:marBottom w:val="0"/>
          <w:divBdr>
            <w:top w:val="none" w:sz="0" w:space="0" w:color="auto"/>
            <w:left w:val="none" w:sz="0" w:space="0" w:color="auto"/>
            <w:bottom w:val="none" w:sz="0" w:space="0" w:color="auto"/>
            <w:right w:val="none" w:sz="0" w:space="0" w:color="auto"/>
          </w:divBdr>
          <w:divsChild>
            <w:div w:id="517887623">
              <w:marLeft w:val="0"/>
              <w:marRight w:val="0"/>
              <w:marTop w:val="0"/>
              <w:marBottom w:val="0"/>
              <w:divBdr>
                <w:top w:val="none" w:sz="0" w:space="0" w:color="auto"/>
                <w:left w:val="none" w:sz="0" w:space="0" w:color="auto"/>
                <w:bottom w:val="none" w:sz="0" w:space="0" w:color="auto"/>
                <w:right w:val="none" w:sz="0" w:space="0" w:color="auto"/>
              </w:divBdr>
              <w:divsChild>
                <w:div w:id="517887622">
                  <w:marLeft w:val="0"/>
                  <w:marRight w:val="0"/>
                  <w:marTop w:val="0"/>
                  <w:marBottom w:val="0"/>
                  <w:divBdr>
                    <w:top w:val="none" w:sz="0" w:space="0" w:color="auto"/>
                    <w:left w:val="none" w:sz="0" w:space="0" w:color="auto"/>
                    <w:bottom w:val="none" w:sz="0" w:space="0" w:color="auto"/>
                    <w:right w:val="none" w:sz="0" w:space="0" w:color="auto"/>
                  </w:divBdr>
                  <w:divsChild>
                    <w:div w:id="517887625">
                      <w:marLeft w:val="0"/>
                      <w:marRight w:val="0"/>
                      <w:marTop w:val="0"/>
                      <w:marBottom w:val="0"/>
                      <w:divBdr>
                        <w:top w:val="none" w:sz="0" w:space="0" w:color="auto"/>
                        <w:left w:val="none" w:sz="0" w:space="0" w:color="auto"/>
                        <w:bottom w:val="none" w:sz="0" w:space="0" w:color="auto"/>
                        <w:right w:val="none" w:sz="0" w:space="0" w:color="auto"/>
                      </w:divBdr>
                      <w:divsChild>
                        <w:div w:id="5178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87647">
      <w:marLeft w:val="0"/>
      <w:marRight w:val="0"/>
      <w:marTop w:val="0"/>
      <w:marBottom w:val="0"/>
      <w:divBdr>
        <w:top w:val="none" w:sz="0" w:space="0" w:color="auto"/>
        <w:left w:val="none" w:sz="0" w:space="0" w:color="auto"/>
        <w:bottom w:val="none" w:sz="0" w:space="0" w:color="auto"/>
        <w:right w:val="none" w:sz="0" w:space="0" w:color="auto"/>
      </w:divBdr>
    </w:div>
    <w:div w:id="517887658">
      <w:marLeft w:val="0"/>
      <w:marRight w:val="0"/>
      <w:marTop w:val="0"/>
      <w:marBottom w:val="0"/>
      <w:divBdr>
        <w:top w:val="none" w:sz="0" w:space="0" w:color="auto"/>
        <w:left w:val="none" w:sz="0" w:space="0" w:color="auto"/>
        <w:bottom w:val="none" w:sz="0" w:space="0" w:color="auto"/>
        <w:right w:val="none" w:sz="0" w:space="0" w:color="auto"/>
      </w:divBdr>
      <w:divsChild>
        <w:div w:id="517887633">
          <w:marLeft w:val="202"/>
          <w:marRight w:val="0"/>
          <w:marTop w:val="90"/>
          <w:marBottom w:val="0"/>
          <w:divBdr>
            <w:top w:val="none" w:sz="0" w:space="0" w:color="auto"/>
            <w:left w:val="none" w:sz="0" w:space="0" w:color="auto"/>
            <w:bottom w:val="none" w:sz="0" w:space="0" w:color="auto"/>
            <w:right w:val="none" w:sz="0" w:space="0" w:color="auto"/>
          </w:divBdr>
        </w:div>
        <w:div w:id="517887642">
          <w:marLeft w:val="202"/>
          <w:marRight w:val="0"/>
          <w:marTop w:val="90"/>
          <w:marBottom w:val="0"/>
          <w:divBdr>
            <w:top w:val="none" w:sz="0" w:space="0" w:color="auto"/>
            <w:left w:val="none" w:sz="0" w:space="0" w:color="auto"/>
            <w:bottom w:val="none" w:sz="0" w:space="0" w:color="auto"/>
            <w:right w:val="none" w:sz="0" w:space="0" w:color="auto"/>
          </w:divBdr>
        </w:div>
        <w:div w:id="517887648">
          <w:marLeft w:val="202"/>
          <w:marRight w:val="0"/>
          <w:marTop w:val="90"/>
          <w:marBottom w:val="0"/>
          <w:divBdr>
            <w:top w:val="none" w:sz="0" w:space="0" w:color="auto"/>
            <w:left w:val="none" w:sz="0" w:space="0" w:color="auto"/>
            <w:bottom w:val="none" w:sz="0" w:space="0" w:color="auto"/>
            <w:right w:val="none" w:sz="0" w:space="0" w:color="auto"/>
          </w:divBdr>
        </w:div>
        <w:div w:id="517887661">
          <w:marLeft w:val="202"/>
          <w:marRight w:val="0"/>
          <w:marTop w:val="90"/>
          <w:marBottom w:val="0"/>
          <w:divBdr>
            <w:top w:val="none" w:sz="0" w:space="0" w:color="auto"/>
            <w:left w:val="none" w:sz="0" w:space="0" w:color="auto"/>
            <w:bottom w:val="none" w:sz="0" w:space="0" w:color="auto"/>
            <w:right w:val="none" w:sz="0" w:space="0" w:color="auto"/>
          </w:divBdr>
        </w:div>
        <w:div w:id="517887664">
          <w:marLeft w:val="202"/>
          <w:marRight w:val="0"/>
          <w:marTop w:val="90"/>
          <w:marBottom w:val="0"/>
          <w:divBdr>
            <w:top w:val="none" w:sz="0" w:space="0" w:color="auto"/>
            <w:left w:val="none" w:sz="0" w:space="0" w:color="auto"/>
            <w:bottom w:val="none" w:sz="0" w:space="0" w:color="auto"/>
            <w:right w:val="none" w:sz="0" w:space="0" w:color="auto"/>
          </w:divBdr>
        </w:div>
      </w:divsChild>
    </w:div>
    <w:div w:id="517887660">
      <w:marLeft w:val="0"/>
      <w:marRight w:val="0"/>
      <w:marTop w:val="0"/>
      <w:marBottom w:val="0"/>
      <w:divBdr>
        <w:top w:val="none" w:sz="0" w:space="0" w:color="auto"/>
        <w:left w:val="none" w:sz="0" w:space="0" w:color="auto"/>
        <w:bottom w:val="none" w:sz="0" w:space="0" w:color="auto"/>
        <w:right w:val="none" w:sz="0" w:space="0" w:color="auto"/>
      </w:divBdr>
      <w:divsChild>
        <w:div w:id="517887620">
          <w:marLeft w:val="446"/>
          <w:marRight w:val="0"/>
          <w:marTop w:val="120"/>
          <w:marBottom w:val="60"/>
          <w:divBdr>
            <w:top w:val="none" w:sz="0" w:space="0" w:color="auto"/>
            <w:left w:val="none" w:sz="0" w:space="0" w:color="auto"/>
            <w:bottom w:val="none" w:sz="0" w:space="0" w:color="auto"/>
            <w:right w:val="none" w:sz="0" w:space="0" w:color="auto"/>
          </w:divBdr>
        </w:div>
        <w:div w:id="517887637">
          <w:marLeft w:val="446"/>
          <w:marRight w:val="0"/>
          <w:marTop w:val="120"/>
          <w:marBottom w:val="60"/>
          <w:divBdr>
            <w:top w:val="none" w:sz="0" w:space="0" w:color="auto"/>
            <w:left w:val="none" w:sz="0" w:space="0" w:color="auto"/>
            <w:bottom w:val="none" w:sz="0" w:space="0" w:color="auto"/>
            <w:right w:val="none" w:sz="0" w:space="0" w:color="auto"/>
          </w:divBdr>
        </w:div>
        <w:div w:id="517887638">
          <w:marLeft w:val="446"/>
          <w:marRight w:val="0"/>
          <w:marTop w:val="120"/>
          <w:marBottom w:val="60"/>
          <w:divBdr>
            <w:top w:val="none" w:sz="0" w:space="0" w:color="auto"/>
            <w:left w:val="none" w:sz="0" w:space="0" w:color="auto"/>
            <w:bottom w:val="none" w:sz="0" w:space="0" w:color="auto"/>
            <w:right w:val="none" w:sz="0" w:space="0" w:color="auto"/>
          </w:divBdr>
        </w:div>
        <w:div w:id="517887649">
          <w:marLeft w:val="446"/>
          <w:marRight w:val="0"/>
          <w:marTop w:val="120"/>
          <w:marBottom w:val="60"/>
          <w:divBdr>
            <w:top w:val="none" w:sz="0" w:space="0" w:color="auto"/>
            <w:left w:val="none" w:sz="0" w:space="0" w:color="auto"/>
            <w:bottom w:val="none" w:sz="0" w:space="0" w:color="auto"/>
            <w:right w:val="none" w:sz="0" w:space="0" w:color="auto"/>
          </w:divBdr>
        </w:div>
        <w:div w:id="517887651">
          <w:marLeft w:val="446"/>
          <w:marRight w:val="0"/>
          <w:marTop w:val="120"/>
          <w:marBottom w:val="60"/>
          <w:divBdr>
            <w:top w:val="none" w:sz="0" w:space="0" w:color="auto"/>
            <w:left w:val="none" w:sz="0" w:space="0" w:color="auto"/>
            <w:bottom w:val="none" w:sz="0" w:space="0" w:color="auto"/>
            <w:right w:val="none" w:sz="0" w:space="0" w:color="auto"/>
          </w:divBdr>
        </w:div>
        <w:div w:id="517887667">
          <w:marLeft w:val="446"/>
          <w:marRight w:val="0"/>
          <w:marTop w:val="120"/>
          <w:marBottom w:val="60"/>
          <w:divBdr>
            <w:top w:val="none" w:sz="0" w:space="0" w:color="auto"/>
            <w:left w:val="none" w:sz="0" w:space="0" w:color="auto"/>
            <w:bottom w:val="none" w:sz="0" w:space="0" w:color="auto"/>
            <w:right w:val="none" w:sz="0" w:space="0" w:color="auto"/>
          </w:divBdr>
        </w:div>
      </w:divsChild>
    </w:div>
    <w:div w:id="517887668">
      <w:marLeft w:val="0"/>
      <w:marRight w:val="0"/>
      <w:marTop w:val="0"/>
      <w:marBottom w:val="0"/>
      <w:divBdr>
        <w:top w:val="none" w:sz="0" w:space="0" w:color="auto"/>
        <w:left w:val="none" w:sz="0" w:space="0" w:color="auto"/>
        <w:bottom w:val="none" w:sz="0" w:space="0" w:color="auto"/>
        <w:right w:val="none" w:sz="0" w:space="0" w:color="auto"/>
      </w:divBdr>
    </w:div>
    <w:div w:id="517887671">
      <w:marLeft w:val="0"/>
      <w:marRight w:val="0"/>
      <w:marTop w:val="0"/>
      <w:marBottom w:val="0"/>
      <w:divBdr>
        <w:top w:val="none" w:sz="0" w:space="0" w:color="auto"/>
        <w:left w:val="none" w:sz="0" w:space="0" w:color="auto"/>
        <w:bottom w:val="none" w:sz="0" w:space="0" w:color="auto"/>
        <w:right w:val="none" w:sz="0" w:space="0" w:color="auto"/>
      </w:divBdr>
      <w:divsChild>
        <w:div w:id="517887673">
          <w:marLeft w:val="0"/>
          <w:marRight w:val="0"/>
          <w:marTop w:val="0"/>
          <w:marBottom w:val="0"/>
          <w:divBdr>
            <w:top w:val="none" w:sz="0" w:space="0" w:color="auto"/>
            <w:left w:val="none" w:sz="0" w:space="0" w:color="auto"/>
            <w:bottom w:val="none" w:sz="0" w:space="0" w:color="auto"/>
            <w:right w:val="none" w:sz="0" w:space="0" w:color="auto"/>
          </w:divBdr>
          <w:divsChild>
            <w:div w:id="517887675">
              <w:marLeft w:val="0"/>
              <w:marRight w:val="0"/>
              <w:marTop w:val="0"/>
              <w:marBottom w:val="0"/>
              <w:divBdr>
                <w:top w:val="none" w:sz="0" w:space="0" w:color="auto"/>
                <w:left w:val="none" w:sz="0" w:space="0" w:color="auto"/>
                <w:bottom w:val="none" w:sz="0" w:space="0" w:color="auto"/>
                <w:right w:val="none" w:sz="0" w:space="0" w:color="auto"/>
              </w:divBdr>
              <w:divsChild>
                <w:div w:id="517887674">
                  <w:marLeft w:val="0"/>
                  <w:marRight w:val="0"/>
                  <w:marTop w:val="0"/>
                  <w:marBottom w:val="0"/>
                  <w:divBdr>
                    <w:top w:val="none" w:sz="0" w:space="0" w:color="auto"/>
                    <w:left w:val="none" w:sz="0" w:space="0" w:color="auto"/>
                    <w:bottom w:val="none" w:sz="0" w:space="0" w:color="auto"/>
                    <w:right w:val="none" w:sz="0" w:space="0" w:color="auto"/>
                  </w:divBdr>
                  <w:divsChild>
                    <w:div w:id="5178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68BE88CD0444BF590E79A73484E4" ma:contentTypeVersion="16" ma:contentTypeDescription="Create a new document." ma:contentTypeScope="" ma:versionID="1aeb49d8b626300d749c3a764e8f1454">
  <xsd:schema xmlns:xsd="http://www.w3.org/2001/XMLSchema" xmlns:xs="http://www.w3.org/2001/XMLSchema" xmlns:p="http://schemas.microsoft.com/office/2006/metadata/properties" xmlns:ns2="7cd57e59-c293-49fe-9d26-1c4376ec6d63" xmlns:ns3="38693cf2-0977-4759-a7c8-1c384ca944ab" targetNamespace="http://schemas.microsoft.com/office/2006/metadata/properties" ma:root="true" ma:fieldsID="99b7b68228090f178fa0e5bb4473cf76" ns2:_="" ns3:_="">
    <xsd:import namespace="7cd57e59-c293-49fe-9d26-1c4376ec6d63"/>
    <xsd:import namespace="38693cf2-0977-4759-a7c8-1c384ca94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7e59-c293-49fe-9d26-1c4376ec6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331b077-6873-4180-acd4-791e4611e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693cf2-0977-4759-a7c8-1c384ca944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67cbca-a5d4-4ceb-bdc0-1157c9f84c0e}" ma:internalName="TaxCatchAll" ma:showField="CatchAllData" ma:web="38693cf2-0977-4759-a7c8-1c384ca94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693cf2-0977-4759-a7c8-1c384ca944ab" xsi:nil="true"/>
    <lcf76f155ced4ddcb4097134ff3c332f xmlns="7cd57e59-c293-49fe-9d26-1c4376ec6d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D12029-13A2-44B2-881F-9E7B5D5C1597}"/>
</file>

<file path=customXml/itemProps2.xml><?xml version="1.0" encoding="utf-8"?>
<ds:datastoreItem xmlns:ds="http://schemas.openxmlformats.org/officeDocument/2006/customXml" ds:itemID="{D91258BD-52A1-476A-9DF9-AB28E5CEE8C9}"/>
</file>

<file path=customXml/itemProps3.xml><?xml version="1.0" encoding="utf-8"?>
<ds:datastoreItem xmlns:ds="http://schemas.openxmlformats.org/officeDocument/2006/customXml" ds:itemID="{0F504B18-F9CF-4476-801F-6EEED33D91A6}"/>
</file>

<file path=docProps/app.xml><?xml version="1.0" encoding="utf-8"?>
<Properties xmlns="http://schemas.openxmlformats.org/officeDocument/2006/extended-properties" xmlns:vt="http://schemas.openxmlformats.org/officeDocument/2006/docPropsVTypes">
  <Template>Normal</Template>
  <TotalTime>2</TotalTime>
  <Pages>7</Pages>
  <Words>2333</Words>
  <Characters>12896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Title of meeting</vt:lpstr>
    </vt:vector>
  </TitlesOfParts>
  <Company>South Wales Police</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meeting</dc:title>
  <dc:subject/>
  <dc:creator>DhaliwalH</dc:creator>
  <cp:keywords/>
  <dc:description/>
  <cp:lastModifiedBy>JENNIFER LEANING</cp:lastModifiedBy>
  <cp:revision>2</cp:revision>
  <cp:lastPrinted>2016-04-04T10:54:00Z</cp:lastPrinted>
  <dcterms:created xsi:type="dcterms:W3CDTF">2023-03-08T12:00:00Z</dcterms:created>
  <dcterms:modified xsi:type="dcterms:W3CDTF">2023-03-08T12:00:00Z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529d828-a824-4b78-ab24-eaae5922aa38_Enabled">
    <vt:lpwstr>true</vt:lpwstr>
  </property>
  <property fmtid="{D5CDD505-2E9C-101B-9397-08002B2CF9AE}" pid="4" name="MSIP_Label_f529d828-a824-4b78-ab24-eaae5922aa38_SetDate">
    <vt:lpwstr>2022-07-19T14:20:20Z</vt:lpwstr>
  </property>
  <property fmtid="{D5CDD505-2E9C-101B-9397-08002B2CF9AE}" pid="5" name="MSIP_Label_f529d828-a824-4b78-ab24-eaae5922aa38_Method">
    <vt:lpwstr>Standard</vt:lpwstr>
  </property>
  <property fmtid="{D5CDD505-2E9C-101B-9397-08002B2CF9AE}" pid="6" name="MSIP_Label_f529d828-a824-4b78-ab24-eaae5922aa38_Name">
    <vt:lpwstr>OFFICIAL</vt:lpwstr>
  </property>
  <property fmtid="{D5CDD505-2E9C-101B-9397-08002B2CF9AE}" pid="7" name="MSIP_Label_f529d828-a824-4b78-ab24-eaae5922aa38_SiteId">
    <vt:lpwstr>b23255a1-8f78-4144-8904-31f019036ade</vt:lpwstr>
  </property>
  <property fmtid="{D5CDD505-2E9C-101B-9397-08002B2CF9AE}" pid="8" name="MSIP_Label_f529d828-a824-4b78-ab24-eaae5922aa38_ContentBits">
    <vt:lpwstr>0</vt:lpwstr>
  </property>
  <property fmtid="{D5CDD505-2E9C-101B-9397-08002B2CF9AE}" pid="9" name="ContentTypeId">
    <vt:lpwstr>0x010100C56E68BE88CD0444BF590E79A73484E4</vt:lpwstr>
  </property>
</Properties>
</file>